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3BF160" w14:textId="210B2A26" w:rsidR="0073320B" w:rsidRPr="00685D31" w:rsidRDefault="0073320B" w:rsidP="00481CFC">
      <w:pPr>
        <w:pStyle w:val="Heading1"/>
        <w:rPr>
          <w:rFonts w:ascii="Calibri" w:hAnsi="Calibri" w:cs="Calibri"/>
        </w:rPr>
      </w:pPr>
      <w:bookmarkStart w:id="0" w:name="_Toc35512291"/>
      <w:bookmarkStart w:id="1" w:name="_Toc192605249"/>
      <w:bookmarkStart w:id="2" w:name="_Toc192686214"/>
      <w:r w:rsidRPr="00685D31">
        <w:rPr>
          <w:rFonts w:ascii="Calibri" w:hAnsi="Calibri" w:cs="Calibri"/>
        </w:rPr>
        <w:t>English Language Policy</w:t>
      </w:r>
      <w:bookmarkEnd w:id="0"/>
      <w:bookmarkEnd w:id="1"/>
      <w:bookmarkEnd w:id="2"/>
    </w:p>
    <w:p w14:paraId="0CA4A6A6" w14:textId="4CB53AF7" w:rsidR="0073320B" w:rsidRPr="00685D31" w:rsidRDefault="0073320B" w:rsidP="00DA20FA">
      <w:pPr>
        <w:spacing w:after="120"/>
        <w:contextualSpacing/>
        <w:rPr>
          <w:rFonts w:ascii="Calibri" w:hAnsi="Calibri" w:cs="Calibri"/>
        </w:rPr>
      </w:pPr>
    </w:p>
    <w:tbl>
      <w:tblPr>
        <w:tblStyle w:val="TableGrid1"/>
        <w:tblW w:w="0" w:type="auto"/>
        <w:tblLook w:val="04A0" w:firstRow="1" w:lastRow="0" w:firstColumn="1" w:lastColumn="0" w:noHBand="0" w:noVBand="1"/>
      </w:tblPr>
      <w:tblGrid>
        <w:gridCol w:w="5200"/>
        <w:gridCol w:w="3816"/>
      </w:tblGrid>
      <w:tr w:rsidR="0073320B" w:rsidRPr="00685D31" w14:paraId="7C6D08F2" w14:textId="77777777" w:rsidTr="00685D31">
        <w:tc>
          <w:tcPr>
            <w:tcW w:w="5524" w:type="dxa"/>
          </w:tcPr>
          <w:p w14:paraId="2399DD83" w14:textId="17BF4C72" w:rsidR="0073320B" w:rsidRPr="00685D31" w:rsidRDefault="0073320B" w:rsidP="00DA20FA">
            <w:pPr>
              <w:spacing w:after="120"/>
              <w:contextualSpacing/>
              <w:jc w:val="left"/>
              <w:rPr>
                <w:rFonts w:ascii="Calibri" w:hAnsi="Calibri" w:cs="Calibri"/>
              </w:rPr>
            </w:pPr>
            <w:r w:rsidRPr="00685D31">
              <w:rPr>
                <w:rFonts w:ascii="Calibri" w:hAnsi="Calibri" w:cs="Calibri"/>
                <w:b/>
              </w:rPr>
              <w:t>Document Name:</w:t>
            </w:r>
            <w:r w:rsidRPr="00685D31">
              <w:rPr>
                <w:rFonts w:ascii="Calibri" w:hAnsi="Calibri" w:cs="Calibri"/>
              </w:rPr>
              <w:t xml:space="preserve">  English Language Policy</w:t>
            </w:r>
          </w:p>
        </w:tc>
        <w:tc>
          <w:tcPr>
            <w:tcW w:w="3492" w:type="dxa"/>
            <w:vMerge w:val="restart"/>
          </w:tcPr>
          <w:p w14:paraId="60D3AEB3" w14:textId="77777777" w:rsidR="0073320B" w:rsidRPr="00685D31" w:rsidRDefault="0073320B" w:rsidP="00DA20FA">
            <w:pPr>
              <w:spacing w:after="120"/>
              <w:contextualSpacing/>
              <w:jc w:val="center"/>
              <w:rPr>
                <w:rFonts w:ascii="Calibri" w:hAnsi="Calibri" w:cs="Calibri"/>
                <w:sz w:val="8"/>
                <w:szCs w:val="8"/>
              </w:rPr>
            </w:pPr>
          </w:p>
          <w:p w14:paraId="33E1E723" w14:textId="77777777" w:rsidR="0073320B" w:rsidRPr="00685D31" w:rsidRDefault="0073320B" w:rsidP="00DA20FA">
            <w:pPr>
              <w:spacing w:after="120"/>
              <w:contextualSpacing/>
              <w:jc w:val="center"/>
              <w:rPr>
                <w:rFonts w:ascii="Calibri" w:hAnsi="Calibri" w:cs="Calibri"/>
              </w:rPr>
            </w:pPr>
            <w:r w:rsidRPr="00685D31">
              <w:rPr>
                <w:rFonts w:ascii="Calibri" w:hAnsi="Calibri" w:cs="Calibri"/>
                <w:noProof/>
                <w:lang w:eastAsia="en-IE"/>
              </w:rPr>
              <w:drawing>
                <wp:inline distT="0" distB="0" distL="0" distR="0" wp14:anchorId="608216C2" wp14:editId="79AFF2EE">
                  <wp:extent cx="2279561" cy="914400"/>
                  <wp:effectExtent l="0" t="0" r="6985" b="0"/>
                  <wp:docPr id="23" name="Picture 23" descr="A logo with a face and a mo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A logo with a face and a moon&#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79561" cy="914400"/>
                          </a:xfrm>
                          <a:prstGeom prst="rect">
                            <a:avLst/>
                          </a:prstGeom>
                        </pic:spPr>
                      </pic:pic>
                    </a:graphicData>
                  </a:graphic>
                </wp:inline>
              </w:drawing>
            </w:r>
          </w:p>
        </w:tc>
      </w:tr>
      <w:tr w:rsidR="0073320B" w:rsidRPr="00685D31" w14:paraId="729B8BC9" w14:textId="77777777" w:rsidTr="00685D31">
        <w:trPr>
          <w:trHeight w:val="491"/>
        </w:trPr>
        <w:tc>
          <w:tcPr>
            <w:tcW w:w="5524" w:type="dxa"/>
          </w:tcPr>
          <w:p w14:paraId="7DFD26F1" w14:textId="77777777" w:rsidR="0073320B" w:rsidRPr="00685D31" w:rsidRDefault="0073320B" w:rsidP="00DA20FA">
            <w:pPr>
              <w:spacing w:after="120"/>
              <w:contextualSpacing/>
              <w:rPr>
                <w:rFonts w:ascii="Calibri" w:hAnsi="Calibri" w:cs="Calibri"/>
              </w:rPr>
            </w:pPr>
            <w:r w:rsidRPr="00685D31">
              <w:rPr>
                <w:rFonts w:ascii="Calibri" w:hAnsi="Calibri" w:cs="Calibri"/>
                <w:b/>
              </w:rPr>
              <w:t>Owner:</w:t>
            </w:r>
            <w:r w:rsidRPr="00685D31">
              <w:rPr>
                <w:rFonts w:ascii="Calibri" w:hAnsi="Calibri" w:cs="Calibri"/>
              </w:rPr>
              <w:t xml:space="preserve"> Registrar</w:t>
            </w:r>
          </w:p>
        </w:tc>
        <w:tc>
          <w:tcPr>
            <w:tcW w:w="3492" w:type="dxa"/>
            <w:vMerge/>
          </w:tcPr>
          <w:p w14:paraId="73CBF5A4" w14:textId="77777777" w:rsidR="0073320B" w:rsidRPr="00685D31" w:rsidRDefault="0073320B" w:rsidP="00DA20FA">
            <w:pPr>
              <w:spacing w:after="120"/>
              <w:contextualSpacing/>
              <w:rPr>
                <w:rFonts w:ascii="Calibri" w:hAnsi="Calibri" w:cs="Calibri"/>
              </w:rPr>
            </w:pPr>
          </w:p>
        </w:tc>
      </w:tr>
      <w:tr w:rsidR="0073320B" w:rsidRPr="00685D31" w14:paraId="02CF14F1" w14:textId="77777777" w:rsidTr="00685D31">
        <w:trPr>
          <w:trHeight w:val="510"/>
        </w:trPr>
        <w:tc>
          <w:tcPr>
            <w:tcW w:w="5524" w:type="dxa"/>
          </w:tcPr>
          <w:p w14:paraId="544E9DEC" w14:textId="77777777" w:rsidR="0073320B" w:rsidRPr="00685D31" w:rsidRDefault="0073320B" w:rsidP="00DA20FA">
            <w:pPr>
              <w:spacing w:after="120"/>
              <w:contextualSpacing/>
              <w:rPr>
                <w:rFonts w:ascii="Calibri" w:hAnsi="Calibri" w:cs="Calibri"/>
              </w:rPr>
            </w:pPr>
            <w:r w:rsidRPr="00685D31">
              <w:rPr>
                <w:rFonts w:ascii="Calibri" w:hAnsi="Calibri" w:cs="Calibri"/>
                <w:b/>
              </w:rPr>
              <w:t>Approved by:</w:t>
            </w:r>
            <w:r w:rsidRPr="00685D31">
              <w:rPr>
                <w:rFonts w:ascii="Calibri" w:hAnsi="Calibri" w:cs="Calibri"/>
              </w:rPr>
              <w:t xml:space="preserve"> Governing Body</w:t>
            </w:r>
          </w:p>
        </w:tc>
        <w:tc>
          <w:tcPr>
            <w:tcW w:w="3492" w:type="dxa"/>
            <w:vMerge/>
          </w:tcPr>
          <w:p w14:paraId="670D42F8" w14:textId="77777777" w:rsidR="0073320B" w:rsidRPr="00685D31" w:rsidRDefault="0073320B" w:rsidP="00DA20FA">
            <w:pPr>
              <w:spacing w:after="120"/>
              <w:contextualSpacing/>
              <w:rPr>
                <w:rFonts w:ascii="Calibri" w:hAnsi="Calibri" w:cs="Calibri"/>
              </w:rPr>
            </w:pPr>
          </w:p>
        </w:tc>
      </w:tr>
      <w:tr w:rsidR="0073320B" w:rsidRPr="00685D31" w14:paraId="0F1C2E86" w14:textId="77777777" w:rsidTr="00685D31">
        <w:tc>
          <w:tcPr>
            <w:tcW w:w="5524" w:type="dxa"/>
          </w:tcPr>
          <w:p w14:paraId="5D6303CB" w14:textId="77777777" w:rsidR="0073320B" w:rsidRPr="00685D31" w:rsidRDefault="0073320B" w:rsidP="00DA20FA">
            <w:pPr>
              <w:spacing w:after="120"/>
              <w:contextualSpacing/>
              <w:rPr>
                <w:rFonts w:ascii="Calibri" w:hAnsi="Calibri" w:cs="Calibri"/>
              </w:rPr>
            </w:pPr>
            <w:r w:rsidRPr="00685D31">
              <w:rPr>
                <w:rFonts w:ascii="Calibri" w:hAnsi="Calibri" w:cs="Calibri"/>
                <w:b/>
              </w:rPr>
              <w:t xml:space="preserve">Review frequency: </w:t>
            </w:r>
            <w:r w:rsidRPr="00685D31">
              <w:rPr>
                <w:rFonts w:ascii="Calibri" w:hAnsi="Calibri" w:cs="Calibri"/>
              </w:rPr>
              <w:t>Every 2 years</w:t>
            </w:r>
          </w:p>
        </w:tc>
        <w:tc>
          <w:tcPr>
            <w:tcW w:w="3492" w:type="dxa"/>
            <w:vMerge/>
          </w:tcPr>
          <w:p w14:paraId="3A955CF6" w14:textId="77777777" w:rsidR="0073320B" w:rsidRPr="00685D31" w:rsidRDefault="0073320B" w:rsidP="00DA20FA">
            <w:pPr>
              <w:spacing w:after="120"/>
              <w:contextualSpacing/>
              <w:rPr>
                <w:rFonts w:ascii="Calibri" w:hAnsi="Calibri" w:cs="Calibri"/>
              </w:rPr>
            </w:pPr>
          </w:p>
        </w:tc>
      </w:tr>
    </w:tbl>
    <w:p w14:paraId="47318666" w14:textId="77777777" w:rsidR="0073320B" w:rsidRPr="00685D31" w:rsidRDefault="0073320B" w:rsidP="00DA20FA">
      <w:pPr>
        <w:spacing w:after="120"/>
        <w:contextualSpacing/>
        <w:rPr>
          <w:rFonts w:ascii="Calibri" w:hAnsi="Calibri" w:cs="Calibri"/>
        </w:rPr>
      </w:pPr>
    </w:p>
    <w:p w14:paraId="784F6DAC" w14:textId="77777777" w:rsidR="00481CFC" w:rsidRPr="00685D31" w:rsidRDefault="00481CFC" w:rsidP="00DA20FA">
      <w:pPr>
        <w:spacing w:after="120"/>
        <w:contextualSpacing/>
        <w:rPr>
          <w:rFonts w:ascii="Calibri" w:hAnsi="Calibri" w:cs="Calibri"/>
        </w:rPr>
      </w:pPr>
    </w:p>
    <w:p w14:paraId="6601F7F4" w14:textId="77777777" w:rsidR="00A60D60" w:rsidRPr="00685D31" w:rsidRDefault="00A60D60" w:rsidP="00DA20FA">
      <w:pPr>
        <w:spacing w:after="120"/>
        <w:contextualSpacing/>
        <w:rPr>
          <w:rFonts w:ascii="Calibri" w:hAnsi="Calibri" w:cs="Calibri"/>
        </w:rPr>
      </w:pPr>
    </w:p>
    <w:tbl>
      <w:tblPr>
        <w:tblStyle w:val="TableGrid2"/>
        <w:tblW w:w="0" w:type="auto"/>
        <w:tblLook w:val="04A0" w:firstRow="1" w:lastRow="0" w:firstColumn="1" w:lastColumn="0" w:noHBand="0" w:noVBand="1"/>
      </w:tblPr>
      <w:tblGrid>
        <w:gridCol w:w="979"/>
        <w:gridCol w:w="4261"/>
        <w:gridCol w:w="1527"/>
        <w:gridCol w:w="2249"/>
      </w:tblGrid>
      <w:tr w:rsidR="0073320B" w:rsidRPr="00685D31" w14:paraId="21F3DFBF" w14:textId="77777777" w:rsidTr="00685D31">
        <w:tc>
          <w:tcPr>
            <w:tcW w:w="979" w:type="dxa"/>
          </w:tcPr>
          <w:p w14:paraId="51FDC7FA" w14:textId="77777777" w:rsidR="0073320B" w:rsidRPr="00685D31" w:rsidRDefault="0073320B" w:rsidP="00DA20FA">
            <w:pPr>
              <w:spacing w:after="120"/>
              <w:contextualSpacing/>
              <w:rPr>
                <w:rFonts w:ascii="Calibri" w:hAnsi="Calibri" w:cs="Calibri"/>
                <w:b/>
              </w:rPr>
            </w:pPr>
            <w:r w:rsidRPr="00685D31">
              <w:rPr>
                <w:rFonts w:ascii="Calibri" w:hAnsi="Calibri" w:cs="Calibri"/>
                <w:b/>
              </w:rPr>
              <w:t>Version</w:t>
            </w:r>
          </w:p>
        </w:tc>
        <w:tc>
          <w:tcPr>
            <w:tcW w:w="4261" w:type="dxa"/>
          </w:tcPr>
          <w:p w14:paraId="0FEDA242" w14:textId="77777777" w:rsidR="0073320B" w:rsidRPr="00685D31" w:rsidRDefault="0073320B" w:rsidP="00DA20FA">
            <w:pPr>
              <w:spacing w:after="120"/>
              <w:contextualSpacing/>
              <w:rPr>
                <w:rFonts w:ascii="Calibri" w:hAnsi="Calibri" w:cs="Calibri"/>
                <w:b/>
              </w:rPr>
            </w:pPr>
            <w:r w:rsidRPr="00685D31">
              <w:rPr>
                <w:rFonts w:ascii="Calibri" w:hAnsi="Calibri" w:cs="Calibri"/>
                <w:b/>
              </w:rPr>
              <w:t>Description of Amendments</w:t>
            </w:r>
          </w:p>
        </w:tc>
        <w:tc>
          <w:tcPr>
            <w:tcW w:w="1527" w:type="dxa"/>
          </w:tcPr>
          <w:p w14:paraId="2A7668B0" w14:textId="77777777" w:rsidR="0073320B" w:rsidRPr="00685D31" w:rsidRDefault="0073320B" w:rsidP="00DA20FA">
            <w:pPr>
              <w:spacing w:after="120"/>
              <w:contextualSpacing/>
              <w:rPr>
                <w:rFonts w:ascii="Calibri" w:hAnsi="Calibri" w:cs="Calibri"/>
                <w:b/>
              </w:rPr>
            </w:pPr>
            <w:r w:rsidRPr="00685D31">
              <w:rPr>
                <w:rFonts w:ascii="Calibri" w:hAnsi="Calibri" w:cs="Calibri"/>
                <w:b/>
              </w:rPr>
              <w:t>Approval Date</w:t>
            </w:r>
          </w:p>
        </w:tc>
        <w:tc>
          <w:tcPr>
            <w:tcW w:w="2249" w:type="dxa"/>
          </w:tcPr>
          <w:p w14:paraId="1B9AEFF2" w14:textId="77777777" w:rsidR="0073320B" w:rsidRPr="00685D31" w:rsidRDefault="0073320B" w:rsidP="00DA20FA">
            <w:pPr>
              <w:spacing w:after="120"/>
              <w:contextualSpacing/>
              <w:rPr>
                <w:rFonts w:ascii="Calibri" w:hAnsi="Calibri" w:cs="Calibri"/>
                <w:b/>
              </w:rPr>
            </w:pPr>
            <w:r w:rsidRPr="00685D31">
              <w:rPr>
                <w:rFonts w:ascii="Calibri" w:hAnsi="Calibri" w:cs="Calibri"/>
                <w:b/>
              </w:rPr>
              <w:t>Implementation Date</w:t>
            </w:r>
          </w:p>
        </w:tc>
      </w:tr>
      <w:tr w:rsidR="0073320B" w:rsidRPr="00685D31" w14:paraId="6D20F807" w14:textId="77777777" w:rsidTr="00685D31">
        <w:tc>
          <w:tcPr>
            <w:tcW w:w="979" w:type="dxa"/>
          </w:tcPr>
          <w:p w14:paraId="23DB6B25" w14:textId="6C5EF6B4" w:rsidR="0073320B" w:rsidRPr="00685D31" w:rsidRDefault="0073320B" w:rsidP="00DA20FA">
            <w:pPr>
              <w:spacing w:after="120"/>
              <w:contextualSpacing/>
              <w:rPr>
                <w:rFonts w:ascii="Calibri" w:hAnsi="Calibri" w:cs="Calibri"/>
              </w:rPr>
            </w:pPr>
          </w:p>
        </w:tc>
        <w:tc>
          <w:tcPr>
            <w:tcW w:w="4261" w:type="dxa"/>
          </w:tcPr>
          <w:p w14:paraId="33AA2C3B" w14:textId="19910AFB" w:rsidR="0073320B" w:rsidRPr="00685D31" w:rsidRDefault="0073320B" w:rsidP="00DA20FA">
            <w:pPr>
              <w:spacing w:after="120"/>
              <w:contextualSpacing/>
              <w:rPr>
                <w:rFonts w:ascii="Calibri" w:hAnsi="Calibri" w:cs="Calibri"/>
              </w:rPr>
            </w:pPr>
          </w:p>
        </w:tc>
        <w:tc>
          <w:tcPr>
            <w:tcW w:w="1527" w:type="dxa"/>
          </w:tcPr>
          <w:p w14:paraId="226F9958" w14:textId="7C3BB4B9" w:rsidR="0073320B" w:rsidRPr="00685D31" w:rsidRDefault="0073320B" w:rsidP="00DA20FA">
            <w:pPr>
              <w:spacing w:after="120"/>
              <w:contextualSpacing/>
              <w:jc w:val="center"/>
              <w:rPr>
                <w:rFonts w:ascii="Calibri" w:hAnsi="Calibri" w:cs="Calibri"/>
              </w:rPr>
            </w:pPr>
          </w:p>
        </w:tc>
        <w:tc>
          <w:tcPr>
            <w:tcW w:w="2249" w:type="dxa"/>
          </w:tcPr>
          <w:p w14:paraId="62803FEB" w14:textId="1DDE825C" w:rsidR="0073320B" w:rsidRPr="00685D31" w:rsidRDefault="0073320B" w:rsidP="00DA20FA">
            <w:pPr>
              <w:spacing w:after="120"/>
              <w:contextualSpacing/>
              <w:jc w:val="center"/>
              <w:rPr>
                <w:rFonts w:ascii="Calibri" w:hAnsi="Calibri" w:cs="Calibri"/>
              </w:rPr>
            </w:pPr>
          </w:p>
        </w:tc>
      </w:tr>
      <w:tr w:rsidR="0073320B" w:rsidRPr="00685D31" w14:paraId="0E47E0EB" w14:textId="77777777" w:rsidTr="00685D31">
        <w:tc>
          <w:tcPr>
            <w:tcW w:w="979" w:type="dxa"/>
          </w:tcPr>
          <w:p w14:paraId="24D826B2" w14:textId="3507D799" w:rsidR="0073320B" w:rsidRPr="00685D31" w:rsidRDefault="0073320B" w:rsidP="00DA20FA">
            <w:pPr>
              <w:spacing w:after="120"/>
              <w:contextualSpacing/>
              <w:rPr>
                <w:rFonts w:ascii="Calibri" w:hAnsi="Calibri" w:cs="Calibri"/>
              </w:rPr>
            </w:pPr>
          </w:p>
        </w:tc>
        <w:tc>
          <w:tcPr>
            <w:tcW w:w="4261" w:type="dxa"/>
          </w:tcPr>
          <w:p w14:paraId="135141C6" w14:textId="40FFEBDA" w:rsidR="0073320B" w:rsidRPr="00685D31" w:rsidRDefault="0073320B" w:rsidP="00DA20FA">
            <w:pPr>
              <w:spacing w:after="120"/>
              <w:contextualSpacing/>
              <w:jc w:val="left"/>
              <w:rPr>
                <w:rFonts w:ascii="Calibri" w:hAnsi="Calibri" w:cs="Calibri"/>
              </w:rPr>
            </w:pPr>
          </w:p>
        </w:tc>
        <w:tc>
          <w:tcPr>
            <w:tcW w:w="1527" w:type="dxa"/>
          </w:tcPr>
          <w:p w14:paraId="2F550ADE" w14:textId="21792EAA" w:rsidR="0073320B" w:rsidRPr="00685D31" w:rsidRDefault="0073320B" w:rsidP="00DA20FA">
            <w:pPr>
              <w:spacing w:after="120"/>
              <w:contextualSpacing/>
              <w:jc w:val="center"/>
              <w:rPr>
                <w:rFonts w:ascii="Calibri" w:hAnsi="Calibri" w:cs="Calibri"/>
              </w:rPr>
            </w:pPr>
          </w:p>
        </w:tc>
        <w:tc>
          <w:tcPr>
            <w:tcW w:w="2249" w:type="dxa"/>
          </w:tcPr>
          <w:p w14:paraId="3A95576E" w14:textId="122B4816" w:rsidR="0073320B" w:rsidRPr="00685D31" w:rsidRDefault="0073320B" w:rsidP="00DA20FA">
            <w:pPr>
              <w:spacing w:after="120"/>
              <w:contextualSpacing/>
              <w:jc w:val="center"/>
              <w:rPr>
                <w:rFonts w:ascii="Calibri" w:hAnsi="Calibri" w:cs="Calibri"/>
              </w:rPr>
            </w:pPr>
          </w:p>
        </w:tc>
      </w:tr>
      <w:tr w:rsidR="0073320B" w:rsidRPr="00685D31" w14:paraId="12D787FD" w14:textId="77777777" w:rsidTr="00685D31">
        <w:tc>
          <w:tcPr>
            <w:tcW w:w="979" w:type="dxa"/>
          </w:tcPr>
          <w:p w14:paraId="768C558F" w14:textId="29D971CB" w:rsidR="0073320B" w:rsidRPr="00685D31" w:rsidRDefault="0073320B" w:rsidP="00DA20FA">
            <w:pPr>
              <w:spacing w:after="120"/>
              <w:contextualSpacing/>
              <w:rPr>
                <w:rFonts w:ascii="Calibri" w:hAnsi="Calibri" w:cs="Calibri"/>
              </w:rPr>
            </w:pPr>
          </w:p>
        </w:tc>
        <w:tc>
          <w:tcPr>
            <w:tcW w:w="4261" w:type="dxa"/>
          </w:tcPr>
          <w:p w14:paraId="00BB4604" w14:textId="456AB61E" w:rsidR="0073320B" w:rsidRPr="00685D31" w:rsidRDefault="0073320B" w:rsidP="00DA20FA">
            <w:pPr>
              <w:spacing w:after="120"/>
              <w:contextualSpacing/>
              <w:rPr>
                <w:rFonts w:ascii="Calibri" w:hAnsi="Calibri" w:cs="Calibri"/>
              </w:rPr>
            </w:pPr>
          </w:p>
        </w:tc>
        <w:tc>
          <w:tcPr>
            <w:tcW w:w="1527" w:type="dxa"/>
          </w:tcPr>
          <w:p w14:paraId="2B79ACB2" w14:textId="1A6F9318" w:rsidR="0073320B" w:rsidRPr="00685D31" w:rsidRDefault="0073320B" w:rsidP="00DA20FA">
            <w:pPr>
              <w:spacing w:after="120"/>
              <w:contextualSpacing/>
              <w:jc w:val="center"/>
              <w:rPr>
                <w:rFonts w:ascii="Calibri" w:hAnsi="Calibri" w:cs="Calibri"/>
              </w:rPr>
            </w:pPr>
          </w:p>
        </w:tc>
        <w:tc>
          <w:tcPr>
            <w:tcW w:w="2249" w:type="dxa"/>
          </w:tcPr>
          <w:p w14:paraId="1CB97C05" w14:textId="08E6D46A" w:rsidR="0073320B" w:rsidRPr="00685D31" w:rsidRDefault="0073320B" w:rsidP="00DA20FA">
            <w:pPr>
              <w:spacing w:after="120"/>
              <w:contextualSpacing/>
              <w:jc w:val="center"/>
              <w:rPr>
                <w:rFonts w:ascii="Calibri" w:hAnsi="Calibri" w:cs="Calibri"/>
              </w:rPr>
            </w:pPr>
          </w:p>
        </w:tc>
      </w:tr>
      <w:tr w:rsidR="0073320B" w:rsidRPr="00685D31" w14:paraId="48F5C8B0" w14:textId="77777777" w:rsidTr="00685D31">
        <w:tc>
          <w:tcPr>
            <w:tcW w:w="979" w:type="dxa"/>
          </w:tcPr>
          <w:p w14:paraId="7188A2EA" w14:textId="024CC3A6" w:rsidR="0073320B" w:rsidRPr="00685D31" w:rsidRDefault="0073320B" w:rsidP="00DA20FA">
            <w:pPr>
              <w:spacing w:after="120"/>
              <w:contextualSpacing/>
              <w:rPr>
                <w:rFonts w:ascii="Calibri" w:hAnsi="Calibri" w:cs="Calibri"/>
              </w:rPr>
            </w:pPr>
          </w:p>
        </w:tc>
        <w:tc>
          <w:tcPr>
            <w:tcW w:w="4261" w:type="dxa"/>
          </w:tcPr>
          <w:p w14:paraId="21DED914" w14:textId="6C4A87E8" w:rsidR="0073320B" w:rsidRPr="00685D31" w:rsidRDefault="0073320B" w:rsidP="00DA20FA">
            <w:pPr>
              <w:spacing w:after="120"/>
              <w:contextualSpacing/>
              <w:rPr>
                <w:rFonts w:ascii="Calibri" w:hAnsi="Calibri" w:cs="Calibri"/>
              </w:rPr>
            </w:pPr>
          </w:p>
        </w:tc>
        <w:tc>
          <w:tcPr>
            <w:tcW w:w="1527" w:type="dxa"/>
          </w:tcPr>
          <w:p w14:paraId="7D3AA7A8" w14:textId="1818037D" w:rsidR="0073320B" w:rsidRPr="00685D31" w:rsidRDefault="0073320B" w:rsidP="00DA20FA">
            <w:pPr>
              <w:spacing w:after="120"/>
              <w:contextualSpacing/>
              <w:jc w:val="center"/>
              <w:rPr>
                <w:rFonts w:ascii="Calibri" w:hAnsi="Calibri" w:cs="Calibri"/>
              </w:rPr>
            </w:pPr>
          </w:p>
        </w:tc>
        <w:tc>
          <w:tcPr>
            <w:tcW w:w="2249" w:type="dxa"/>
          </w:tcPr>
          <w:p w14:paraId="5CEE9C79" w14:textId="15EF4ADF" w:rsidR="0073320B" w:rsidRPr="00685D31" w:rsidRDefault="0073320B" w:rsidP="00DA20FA">
            <w:pPr>
              <w:spacing w:after="120"/>
              <w:contextualSpacing/>
              <w:jc w:val="center"/>
              <w:rPr>
                <w:rFonts w:ascii="Calibri" w:hAnsi="Calibri" w:cs="Calibri"/>
              </w:rPr>
            </w:pPr>
          </w:p>
        </w:tc>
      </w:tr>
    </w:tbl>
    <w:p w14:paraId="2F07FD03" w14:textId="77777777" w:rsidR="0073320B" w:rsidRPr="00685D31" w:rsidRDefault="0073320B" w:rsidP="00DA20FA">
      <w:pPr>
        <w:spacing w:before="100" w:beforeAutospacing="1" w:after="120"/>
        <w:contextualSpacing/>
        <w:rPr>
          <w:rFonts w:ascii="Calibri" w:hAnsi="Calibri" w:cs="Calibri"/>
        </w:rPr>
      </w:pPr>
    </w:p>
    <w:p w14:paraId="2649FDAB" w14:textId="77777777" w:rsidR="0073320B" w:rsidRPr="00685D31" w:rsidRDefault="0073320B" w:rsidP="00DA20FA">
      <w:pPr>
        <w:spacing w:before="100" w:beforeAutospacing="1" w:after="120"/>
        <w:contextualSpacing/>
        <w:rPr>
          <w:rFonts w:ascii="Calibri" w:hAnsi="Calibri" w:cs="Calibri"/>
        </w:rPr>
      </w:pPr>
    </w:p>
    <w:p w14:paraId="1FCEB6E1" w14:textId="47F536EE" w:rsidR="00AE285E" w:rsidRPr="00685D31" w:rsidRDefault="00AE285E" w:rsidP="00DA20FA">
      <w:pPr>
        <w:spacing w:after="120"/>
        <w:contextualSpacing/>
        <w:jc w:val="left"/>
        <w:rPr>
          <w:rFonts w:ascii="Calibri" w:hAnsi="Calibri" w:cs="Calibri"/>
        </w:rPr>
      </w:pPr>
      <w:r w:rsidRPr="00685D31">
        <w:rPr>
          <w:rFonts w:ascii="Calibri" w:hAnsi="Calibri" w:cs="Calibri"/>
        </w:rPr>
        <w:br w:type="page"/>
      </w:r>
    </w:p>
    <w:p w14:paraId="25493063" w14:textId="77777777" w:rsidR="0073320B" w:rsidRPr="00685D31" w:rsidRDefault="0073320B" w:rsidP="00DA20FA">
      <w:pPr>
        <w:spacing w:before="100" w:beforeAutospacing="1" w:after="120"/>
        <w:contextualSpacing/>
        <w:rPr>
          <w:rFonts w:ascii="Calibri" w:hAnsi="Calibri" w:cs="Calibri"/>
        </w:rPr>
      </w:pPr>
    </w:p>
    <w:sdt>
      <w:sdtPr>
        <w:rPr>
          <w:rFonts w:ascii="Calibri" w:eastAsiaTheme="minorEastAsia" w:hAnsi="Calibri" w:cs="Calibri"/>
          <w:color w:val="auto"/>
          <w:sz w:val="22"/>
          <w:szCs w:val="22"/>
          <w:lang w:val="en-IE"/>
          <w14:ligatures w14:val="standardContextual"/>
        </w:rPr>
        <w:id w:val="-972666566"/>
        <w:docPartObj>
          <w:docPartGallery w:val="Table of Contents"/>
          <w:docPartUnique/>
        </w:docPartObj>
      </w:sdtPr>
      <w:sdtEndPr>
        <w:rPr>
          <w:b/>
          <w:bCs/>
          <w:noProof/>
        </w:rPr>
      </w:sdtEndPr>
      <w:sdtContent>
        <w:p w14:paraId="077A8557" w14:textId="2FA4DECB" w:rsidR="00AE285E" w:rsidRPr="00685D31" w:rsidRDefault="00AE285E" w:rsidP="00DA20FA">
          <w:pPr>
            <w:pStyle w:val="TOCHeading"/>
            <w:spacing w:after="120"/>
            <w:contextualSpacing/>
            <w:rPr>
              <w:rFonts w:ascii="Calibri" w:hAnsi="Calibri" w:cs="Calibri"/>
              <w:sz w:val="22"/>
              <w:szCs w:val="22"/>
            </w:rPr>
          </w:pPr>
          <w:r w:rsidRPr="00685D31">
            <w:rPr>
              <w:rFonts w:ascii="Calibri" w:hAnsi="Calibri" w:cs="Calibri"/>
              <w:sz w:val="22"/>
              <w:szCs w:val="22"/>
            </w:rPr>
            <w:t>Contents</w:t>
          </w:r>
        </w:p>
        <w:p w14:paraId="7E4B6DF3" w14:textId="7E3EB169" w:rsidR="00685D31" w:rsidRDefault="00AE285E">
          <w:pPr>
            <w:pStyle w:val="TOC1"/>
            <w:tabs>
              <w:tab w:val="right" w:leader="dot" w:pos="9016"/>
            </w:tabs>
            <w:rPr>
              <w:noProof/>
              <w:kern w:val="2"/>
              <w:sz w:val="24"/>
              <w:szCs w:val="24"/>
              <w:lang w:eastAsia="en-IE"/>
            </w:rPr>
          </w:pPr>
          <w:r w:rsidRPr="00685D31">
            <w:rPr>
              <w:rFonts w:ascii="Calibri" w:hAnsi="Calibri" w:cs="Calibri"/>
            </w:rPr>
            <w:fldChar w:fldCharType="begin"/>
          </w:r>
          <w:r w:rsidRPr="00685D31">
            <w:rPr>
              <w:rFonts w:ascii="Calibri" w:hAnsi="Calibri" w:cs="Calibri"/>
            </w:rPr>
            <w:instrText xml:space="preserve"> TOC \o "1-3" \h \z \u </w:instrText>
          </w:r>
          <w:r w:rsidRPr="00685D31">
            <w:rPr>
              <w:rFonts w:ascii="Calibri" w:hAnsi="Calibri" w:cs="Calibri"/>
            </w:rPr>
            <w:fldChar w:fldCharType="separate"/>
          </w:r>
          <w:hyperlink w:anchor="_Toc192686214" w:history="1">
            <w:r w:rsidR="00685D31" w:rsidRPr="00381EEA">
              <w:rPr>
                <w:rStyle w:val="Hyperlink"/>
                <w:rFonts w:ascii="Calibri" w:hAnsi="Calibri" w:cs="Calibri"/>
                <w:noProof/>
              </w:rPr>
              <w:t>English Language Policy</w:t>
            </w:r>
            <w:r w:rsidR="00685D31">
              <w:rPr>
                <w:noProof/>
                <w:webHidden/>
              </w:rPr>
              <w:tab/>
            </w:r>
            <w:r w:rsidR="00685D31">
              <w:rPr>
                <w:noProof/>
                <w:webHidden/>
              </w:rPr>
              <w:fldChar w:fldCharType="begin"/>
            </w:r>
            <w:r w:rsidR="00685D31">
              <w:rPr>
                <w:noProof/>
                <w:webHidden/>
              </w:rPr>
              <w:instrText xml:space="preserve"> PAGEREF _Toc192686214 \h </w:instrText>
            </w:r>
            <w:r w:rsidR="00685D31">
              <w:rPr>
                <w:noProof/>
                <w:webHidden/>
              </w:rPr>
            </w:r>
            <w:r w:rsidR="00685D31">
              <w:rPr>
                <w:noProof/>
                <w:webHidden/>
              </w:rPr>
              <w:fldChar w:fldCharType="separate"/>
            </w:r>
            <w:r w:rsidR="009530F6">
              <w:rPr>
                <w:noProof/>
                <w:webHidden/>
              </w:rPr>
              <w:t>1</w:t>
            </w:r>
            <w:r w:rsidR="00685D31">
              <w:rPr>
                <w:noProof/>
                <w:webHidden/>
              </w:rPr>
              <w:fldChar w:fldCharType="end"/>
            </w:r>
          </w:hyperlink>
        </w:p>
        <w:p w14:paraId="2EC5F0B6" w14:textId="51A933B5" w:rsidR="00685D31" w:rsidRDefault="00685D31">
          <w:pPr>
            <w:pStyle w:val="TOC1"/>
            <w:tabs>
              <w:tab w:val="right" w:leader="dot" w:pos="9016"/>
            </w:tabs>
            <w:rPr>
              <w:noProof/>
              <w:kern w:val="2"/>
              <w:sz w:val="24"/>
              <w:szCs w:val="24"/>
              <w:lang w:eastAsia="en-IE"/>
            </w:rPr>
          </w:pPr>
          <w:hyperlink w:anchor="_Toc192686215" w:history="1">
            <w:r w:rsidRPr="00381EEA">
              <w:rPr>
                <w:rStyle w:val="Hyperlink"/>
                <w:rFonts w:ascii="Calibri" w:hAnsi="Calibri" w:cs="Calibri"/>
                <w:noProof/>
              </w:rPr>
              <w:t>1. Introduction</w:t>
            </w:r>
            <w:r>
              <w:rPr>
                <w:noProof/>
                <w:webHidden/>
              </w:rPr>
              <w:tab/>
            </w:r>
            <w:r>
              <w:rPr>
                <w:noProof/>
                <w:webHidden/>
              </w:rPr>
              <w:fldChar w:fldCharType="begin"/>
            </w:r>
            <w:r>
              <w:rPr>
                <w:noProof/>
                <w:webHidden/>
              </w:rPr>
              <w:instrText xml:space="preserve"> PAGEREF _Toc192686215 \h </w:instrText>
            </w:r>
            <w:r>
              <w:rPr>
                <w:noProof/>
                <w:webHidden/>
              </w:rPr>
            </w:r>
            <w:r>
              <w:rPr>
                <w:noProof/>
                <w:webHidden/>
              </w:rPr>
              <w:fldChar w:fldCharType="separate"/>
            </w:r>
            <w:r w:rsidR="009530F6">
              <w:rPr>
                <w:noProof/>
                <w:webHidden/>
              </w:rPr>
              <w:t>3</w:t>
            </w:r>
            <w:r>
              <w:rPr>
                <w:noProof/>
                <w:webHidden/>
              </w:rPr>
              <w:fldChar w:fldCharType="end"/>
            </w:r>
          </w:hyperlink>
        </w:p>
        <w:p w14:paraId="7AB047DC" w14:textId="004F742B" w:rsidR="00685D31" w:rsidRDefault="00685D31">
          <w:pPr>
            <w:pStyle w:val="TOC2"/>
            <w:tabs>
              <w:tab w:val="right" w:leader="dot" w:pos="9016"/>
            </w:tabs>
            <w:rPr>
              <w:noProof/>
              <w:kern w:val="2"/>
              <w:sz w:val="24"/>
              <w:szCs w:val="24"/>
              <w:lang w:eastAsia="en-IE"/>
            </w:rPr>
          </w:pPr>
          <w:hyperlink w:anchor="_Toc192686216" w:history="1">
            <w:r w:rsidRPr="00381EEA">
              <w:rPr>
                <w:rStyle w:val="Hyperlink"/>
                <w:rFonts w:ascii="Calibri" w:hAnsi="Calibri" w:cs="Calibri"/>
                <w:noProof/>
              </w:rPr>
              <w:t>1.1 Purpose</w:t>
            </w:r>
            <w:r>
              <w:rPr>
                <w:noProof/>
                <w:webHidden/>
              </w:rPr>
              <w:tab/>
            </w:r>
            <w:r>
              <w:rPr>
                <w:noProof/>
                <w:webHidden/>
              </w:rPr>
              <w:fldChar w:fldCharType="begin"/>
            </w:r>
            <w:r>
              <w:rPr>
                <w:noProof/>
                <w:webHidden/>
              </w:rPr>
              <w:instrText xml:space="preserve"> PAGEREF _Toc192686216 \h </w:instrText>
            </w:r>
            <w:r>
              <w:rPr>
                <w:noProof/>
                <w:webHidden/>
              </w:rPr>
            </w:r>
            <w:r>
              <w:rPr>
                <w:noProof/>
                <w:webHidden/>
              </w:rPr>
              <w:fldChar w:fldCharType="separate"/>
            </w:r>
            <w:r w:rsidR="009530F6">
              <w:rPr>
                <w:noProof/>
                <w:webHidden/>
              </w:rPr>
              <w:t>4</w:t>
            </w:r>
            <w:r>
              <w:rPr>
                <w:noProof/>
                <w:webHidden/>
              </w:rPr>
              <w:fldChar w:fldCharType="end"/>
            </w:r>
          </w:hyperlink>
        </w:p>
        <w:p w14:paraId="57C1C9A4" w14:textId="6997B976" w:rsidR="00685D31" w:rsidRDefault="00685D31">
          <w:pPr>
            <w:pStyle w:val="TOC2"/>
            <w:tabs>
              <w:tab w:val="right" w:leader="dot" w:pos="9016"/>
            </w:tabs>
            <w:rPr>
              <w:noProof/>
              <w:kern w:val="2"/>
              <w:sz w:val="24"/>
              <w:szCs w:val="24"/>
              <w:lang w:eastAsia="en-IE"/>
            </w:rPr>
          </w:pPr>
          <w:hyperlink w:anchor="_Toc192686217" w:history="1">
            <w:r w:rsidRPr="00381EEA">
              <w:rPr>
                <w:rStyle w:val="Hyperlink"/>
                <w:rFonts w:ascii="Calibri" w:hAnsi="Calibri" w:cs="Calibri"/>
                <w:noProof/>
              </w:rPr>
              <w:t>1.2 Scope</w:t>
            </w:r>
            <w:r>
              <w:rPr>
                <w:noProof/>
                <w:webHidden/>
              </w:rPr>
              <w:tab/>
            </w:r>
          </w:hyperlink>
          <w:r w:rsidR="009530F6">
            <w:t>4</w:t>
          </w:r>
        </w:p>
        <w:p w14:paraId="40618932" w14:textId="7CB2D7DA" w:rsidR="00685D31" w:rsidRDefault="00685D31">
          <w:pPr>
            <w:pStyle w:val="TOC2"/>
            <w:tabs>
              <w:tab w:val="right" w:leader="dot" w:pos="9016"/>
            </w:tabs>
            <w:rPr>
              <w:noProof/>
              <w:kern w:val="2"/>
              <w:sz w:val="24"/>
              <w:szCs w:val="24"/>
              <w:lang w:eastAsia="en-IE"/>
            </w:rPr>
          </w:pPr>
          <w:hyperlink w:anchor="_Toc192686218" w:history="1">
            <w:r w:rsidRPr="00381EEA">
              <w:rPr>
                <w:rStyle w:val="Hyperlink"/>
                <w:rFonts w:ascii="Calibri" w:hAnsi="Calibri" w:cs="Calibri"/>
                <w:noProof/>
              </w:rPr>
              <w:t>1.3 Definitions</w:t>
            </w:r>
            <w:r>
              <w:rPr>
                <w:noProof/>
                <w:webHidden/>
              </w:rPr>
              <w:tab/>
            </w:r>
          </w:hyperlink>
          <w:r w:rsidR="009530F6">
            <w:t>4</w:t>
          </w:r>
        </w:p>
        <w:p w14:paraId="78D91D3A" w14:textId="2B9654D2" w:rsidR="00685D31" w:rsidRDefault="00685D31">
          <w:pPr>
            <w:pStyle w:val="TOC1"/>
            <w:tabs>
              <w:tab w:val="right" w:leader="dot" w:pos="9016"/>
            </w:tabs>
            <w:rPr>
              <w:noProof/>
              <w:kern w:val="2"/>
              <w:sz w:val="24"/>
              <w:szCs w:val="24"/>
              <w:lang w:eastAsia="en-IE"/>
            </w:rPr>
          </w:pPr>
          <w:hyperlink w:anchor="_Toc192686219" w:history="1">
            <w:r w:rsidRPr="00381EEA">
              <w:rPr>
                <w:rStyle w:val="Hyperlink"/>
                <w:rFonts w:ascii="Calibri" w:hAnsi="Calibri" w:cs="Calibri"/>
                <w:noProof/>
              </w:rPr>
              <w:t>2. Policy Statement</w:t>
            </w:r>
            <w:r>
              <w:rPr>
                <w:noProof/>
                <w:webHidden/>
              </w:rPr>
              <w:tab/>
            </w:r>
            <w:r>
              <w:rPr>
                <w:noProof/>
                <w:webHidden/>
              </w:rPr>
              <w:fldChar w:fldCharType="begin"/>
            </w:r>
            <w:r>
              <w:rPr>
                <w:noProof/>
                <w:webHidden/>
              </w:rPr>
              <w:instrText xml:space="preserve"> PAGEREF _Toc192686219 \h </w:instrText>
            </w:r>
            <w:r>
              <w:rPr>
                <w:noProof/>
                <w:webHidden/>
              </w:rPr>
            </w:r>
            <w:r>
              <w:rPr>
                <w:noProof/>
                <w:webHidden/>
              </w:rPr>
              <w:fldChar w:fldCharType="separate"/>
            </w:r>
            <w:r w:rsidR="009530F6">
              <w:rPr>
                <w:noProof/>
                <w:webHidden/>
              </w:rPr>
              <w:t>4</w:t>
            </w:r>
            <w:r>
              <w:rPr>
                <w:noProof/>
                <w:webHidden/>
              </w:rPr>
              <w:fldChar w:fldCharType="end"/>
            </w:r>
          </w:hyperlink>
        </w:p>
        <w:p w14:paraId="3C4320A6" w14:textId="6AA3985D" w:rsidR="00685D31" w:rsidRDefault="00685D31">
          <w:pPr>
            <w:pStyle w:val="TOC2"/>
            <w:tabs>
              <w:tab w:val="right" w:leader="dot" w:pos="9016"/>
            </w:tabs>
            <w:rPr>
              <w:noProof/>
              <w:kern w:val="2"/>
              <w:sz w:val="24"/>
              <w:szCs w:val="24"/>
              <w:lang w:eastAsia="en-IE"/>
            </w:rPr>
          </w:pPr>
          <w:hyperlink w:anchor="_Toc192686220" w:history="1">
            <w:r w:rsidRPr="00381EEA">
              <w:rPr>
                <w:rStyle w:val="Hyperlink"/>
                <w:rFonts w:ascii="Calibri" w:hAnsi="Calibri" w:cs="Calibri"/>
                <w:noProof/>
              </w:rPr>
              <w:t>2.1 Policy Statement Principles</w:t>
            </w:r>
            <w:r>
              <w:rPr>
                <w:noProof/>
                <w:webHidden/>
              </w:rPr>
              <w:tab/>
            </w:r>
            <w:r>
              <w:rPr>
                <w:noProof/>
                <w:webHidden/>
              </w:rPr>
              <w:fldChar w:fldCharType="begin"/>
            </w:r>
            <w:r>
              <w:rPr>
                <w:noProof/>
                <w:webHidden/>
              </w:rPr>
              <w:instrText xml:space="preserve"> PAGEREF _Toc192686220 \h </w:instrText>
            </w:r>
            <w:r>
              <w:rPr>
                <w:noProof/>
                <w:webHidden/>
              </w:rPr>
            </w:r>
            <w:r>
              <w:rPr>
                <w:noProof/>
                <w:webHidden/>
              </w:rPr>
              <w:fldChar w:fldCharType="separate"/>
            </w:r>
            <w:r w:rsidR="009530F6">
              <w:rPr>
                <w:noProof/>
                <w:webHidden/>
              </w:rPr>
              <w:t>4</w:t>
            </w:r>
            <w:r>
              <w:rPr>
                <w:noProof/>
                <w:webHidden/>
              </w:rPr>
              <w:fldChar w:fldCharType="end"/>
            </w:r>
          </w:hyperlink>
        </w:p>
        <w:p w14:paraId="76484D67" w14:textId="59D5AC79" w:rsidR="00685D31" w:rsidRDefault="00685D31">
          <w:pPr>
            <w:pStyle w:val="TOC2"/>
            <w:tabs>
              <w:tab w:val="right" w:leader="dot" w:pos="9016"/>
            </w:tabs>
            <w:rPr>
              <w:noProof/>
              <w:kern w:val="2"/>
              <w:sz w:val="24"/>
              <w:szCs w:val="24"/>
              <w:lang w:eastAsia="en-IE"/>
            </w:rPr>
          </w:pPr>
          <w:hyperlink w:anchor="_Toc192686221" w:history="1">
            <w:r w:rsidRPr="00381EEA">
              <w:rPr>
                <w:rStyle w:val="Hyperlink"/>
                <w:rFonts w:ascii="Calibri" w:hAnsi="Calibri" w:cs="Calibri"/>
                <w:noProof/>
              </w:rPr>
              <w:t>2.2 Entry Requirements</w:t>
            </w:r>
            <w:r>
              <w:rPr>
                <w:noProof/>
                <w:webHidden/>
              </w:rPr>
              <w:tab/>
            </w:r>
            <w:r>
              <w:rPr>
                <w:noProof/>
                <w:webHidden/>
              </w:rPr>
              <w:fldChar w:fldCharType="begin"/>
            </w:r>
            <w:r>
              <w:rPr>
                <w:noProof/>
                <w:webHidden/>
              </w:rPr>
              <w:instrText xml:space="preserve"> PAGEREF _Toc192686221 \h </w:instrText>
            </w:r>
            <w:r>
              <w:rPr>
                <w:noProof/>
                <w:webHidden/>
              </w:rPr>
            </w:r>
            <w:r>
              <w:rPr>
                <w:noProof/>
                <w:webHidden/>
              </w:rPr>
              <w:fldChar w:fldCharType="separate"/>
            </w:r>
            <w:r w:rsidR="009530F6">
              <w:rPr>
                <w:noProof/>
                <w:webHidden/>
              </w:rPr>
              <w:t>5</w:t>
            </w:r>
            <w:r>
              <w:rPr>
                <w:noProof/>
                <w:webHidden/>
              </w:rPr>
              <w:fldChar w:fldCharType="end"/>
            </w:r>
          </w:hyperlink>
        </w:p>
        <w:p w14:paraId="4ECE6519" w14:textId="2E17E022" w:rsidR="00685D31" w:rsidRDefault="00685D31">
          <w:pPr>
            <w:pStyle w:val="TOC2"/>
            <w:tabs>
              <w:tab w:val="right" w:leader="dot" w:pos="9016"/>
            </w:tabs>
            <w:rPr>
              <w:noProof/>
              <w:kern w:val="2"/>
              <w:sz w:val="24"/>
              <w:szCs w:val="24"/>
              <w:lang w:eastAsia="en-IE"/>
            </w:rPr>
          </w:pPr>
          <w:hyperlink w:anchor="_Toc192686222" w:history="1">
            <w:r w:rsidRPr="00381EEA">
              <w:rPr>
                <w:rStyle w:val="Hyperlink"/>
                <w:rFonts w:ascii="Calibri" w:hAnsi="Calibri" w:cs="Calibri"/>
                <w:noProof/>
              </w:rPr>
              <w:t>2.3 English Supports Prior to Commencement</w:t>
            </w:r>
            <w:r>
              <w:rPr>
                <w:noProof/>
                <w:webHidden/>
              </w:rPr>
              <w:tab/>
            </w:r>
            <w:r>
              <w:rPr>
                <w:noProof/>
                <w:webHidden/>
              </w:rPr>
              <w:fldChar w:fldCharType="begin"/>
            </w:r>
            <w:r>
              <w:rPr>
                <w:noProof/>
                <w:webHidden/>
              </w:rPr>
              <w:instrText xml:space="preserve"> PAGEREF _Toc192686222 \h </w:instrText>
            </w:r>
            <w:r>
              <w:rPr>
                <w:noProof/>
                <w:webHidden/>
              </w:rPr>
            </w:r>
            <w:r>
              <w:rPr>
                <w:noProof/>
                <w:webHidden/>
              </w:rPr>
              <w:fldChar w:fldCharType="separate"/>
            </w:r>
            <w:r w:rsidR="009530F6">
              <w:rPr>
                <w:noProof/>
                <w:webHidden/>
              </w:rPr>
              <w:t>6</w:t>
            </w:r>
            <w:r>
              <w:rPr>
                <w:noProof/>
                <w:webHidden/>
              </w:rPr>
              <w:fldChar w:fldCharType="end"/>
            </w:r>
          </w:hyperlink>
        </w:p>
        <w:p w14:paraId="5F095383" w14:textId="08F21284" w:rsidR="00685D31" w:rsidRDefault="00685D31">
          <w:pPr>
            <w:pStyle w:val="TOC2"/>
            <w:tabs>
              <w:tab w:val="right" w:leader="dot" w:pos="9016"/>
            </w:tabs>
            <w:rPr>
              <w:noProof/>
              <w:kern w:val="2"/>
              <w:sz w:val="24"/>
              <w:szCs w:val="24"/>
              <w:lang w:eastAsia="en-IE"/>
            </w:rPr>
          </w:pPr>
          <w:hyperlink w:anchor="_Toc192686223" w:history="1">
            <w:r w:rsidRPr="00381EEA">
              <w:rPr>
                <w:rStyle w:val="Hyperlink"/>
                <w:rFonts w:ascii="Calibri" w:hAnsi="Calibri" w:cs="Calibri"/>
                <w:noProof/>
              </w:rPr>
              <w:t>2.4 Development of English for Academic Purposes (EAP)</w:t>
            </w:r>
            <w:r>
              <w:rPr>
                <w:noProof/>
                <w:webHidden/>
              </w:rPr>
              <w:tab/>
            </w:r>
            <w:r>
              <w:rPr>
                <w:noProof/>
                <w:webHidden/>
              </w:rPr>
              <w:fldChar w:fldCharType="begin"/>
            </w:r>
            <w:r>
              <w:rPr>
                <w:noProof/>
                <w:webHidden/>
              </w:rPr>
              <w:instrText xml:space="preserve"> PAGEREF _Toc192686223 \h </w:instrText>
            </w:r>
            <w:r>
              <w:rPr>
                <w:noProof/>
                <w:webHidden/>
              </w:rPr>
            </w:r>
            <w:r>
              <w:rPr>
                <w:noProof/>
                <w:webHidden/>
              </w:rPr>
              <w:fldChar w:fldCharType="separate"/>
            </w:r>
            <w:r w:rsidR="009530F6">
              <w:rPr>
                <w:noProof/>
                <w:webHidden/>
              </w:rPr>
              <w:t>6</w:t>
            </w:r>
            <w:r>
              <w:rPr>
                <w:noProof/>
                <w:webHidden/>
              </w:rPr>
              <w:fldChar w:fldCharType="end"/>
            </w:r>
          </w:hyperlink>
        </w:p>
        <w:p w14:paraId="03D5A3DB" w14:textId="7232EDE4" w:rsidR="00685D31" w:rsidRDefault="00685D31">
          <w:pPr>
            <w:pStyle w:val="TOC2"/>
            <w:tabs>
              <w:tab w:val="right" w:leader="dot" w:pos="9016"/>
            </w:tabs>
            <w:rPr>
              <w:noProof/>
              <w:kern w:val="2"/>
              <w:sz w:val="24"/>
              <w:szCs w:val="24"/>
              <w:lang w:eastAsia="en-IE"/>
            </w:rPr>
          </w:pPr>
          <w:hyperlink w:anchor="_Toc192686224" w:history="1">
            <w:r w:rsidRPr="00381EEA">
              <w:rPr>
                <w:rStyle w:val="Hyperlink"/>
                <w:rFonts w:ascii="Calibri" w:hAnsi="Calibri" w:cs="Calibri"/>
                <w:noProof/>
              </w:rPr>
              <w:t>2.5 Quality Assurance and Continuous Improvement</w:t>
            </w:r>
            <w:r>
              <w:rPr>
                <w:noProof/>
                <w:webHidden/>
              </w:rPr>
              <w:tab/>
            </w:r>
            <w:r>
              <w:rPr>
                <w:noProof/>
                <w:webHidden/>
              </w:rPr>
              <w:fldChar w:fldCharType="begin"/>
            </w:r>
            <w:r>
              <w:rPr>
                <w:noProof/>
                <w:webHidden/>
              </w:rPr>
              <w:instrText xml:space="preserve"> PAGEREF _Toc192686224 \h </w:instrText>
            </w:r>
            <w:r>
              <w:rPr>
                <w:noProof/>
                <w:webHidden/>
              </w:rPr>
            </w:r>
            <w:r>
              <w:rPr>
                <w:noProof/>
                <w:webHidden/>
              </w:rPr>
              <w:fldChar w:fldCharType="separate"/>
            </w:r>
            <w:r w:rsidR="009530F6">
              <w:rPr>
                <w:noProof/>
                <w:webHidden/>
              </w:rPr>
              <w:t>7</w:t>
            </w:r>
            <w:r>
              <w:rPr>
                <w:noProof/>
                <w:webHidden/>
              </w:rPr>
              <w:fldChar w:fldCharType="end"/>
            </w:r>
          </w:hyperlink>
        </w:p>
        <w:p w14:paraId="35FBC52D" w14:textId="0F994EE6" w:rsidR="00685D31" w:rsidRDefault="00685D31">
          <w:pPr>
            <w:pStyle w:val="TOC1"/>
            <w:tabs>
              <w:tab w:val="right" w:leader="dot" w:pos="9016"/>
            </w:tabs>
            <w:rPr>
              <w:noProof/>
              <w:kern w:val="2"/>
              <w:sz w:val="24"/>
              <w:szCs w:val="24"/>
              <w:lang w:eastAsia="en-IE"/>
            </w:rPr>
          </w:pPr>
          <w:hyperlink w:anchor="_Toc192686225" w:history="1">
            <w:r w:rsidRPr="00381EEA">
              <w:rPr>
                <w:rStyle w:val="Hyperlink"/>
                <w:rFonts w:ascii="Calibri" w:hAnsi="Calibri" w:cs="Calibri"/>
                <w:noProof/>
              </w:rPr>
              <w:t>4. Related Documents</w:t>
            </w:r>
            <w:r>
              <w:rPr>
                <w:noProof/>
                <w:webHidden/>
              </w:rPr>
              <w:tab/>
            </w:r>
            <w:r>
              <w:rPr>
                <w:noProof/>
                <w:webHidden/>
              </w:rPr>
              <w:fldChar w:fldCharType="begin"/>
            </w:r>
            <w:r>
              <w:rPr>
                <w:noProof/>
                <w:webHidden/>
              </w:rPr>
              <w:instrText xml:space="preserve"> PAGEREF _Toc192686225 \h </w:instrText>
            </w:r>
            <w:r>
              <w:rPr>
                <w:noProof/>
                <w:webHidden/>
              </w:rPr>
            </w:r>
            <w:r>
              <w:rPr>
                <w:noProof/>
                <w:webHidden/>
              </w:rPr>
              <w:fldChar w:fldCharType="separate"/>
            </w:r>
            <w:r w:rsidR="009530F6">
              <w:rPr>
                <w:noProof/>
                <w:webHidden/>
              </w:rPr>
              <w:t>7</w:t>
            </w:r>
            <w:r>
              <w:rPr>
                <w:noProof/>
                <w:webHidden/>
              </w:rPr>
              <w:fldChar w:fldCharType="end"/>
            </w:r>
          </w:hyperlink>
        </w:p>
        <w:p w14:paraId="025A1D4C" w14:textId="16C8272B" w:rsidR="00AE285E" w:rsidRPr="00685D31" w:rsidRDefault="00AE285E" w:rsidP="00DA20FA">
          <w:pPr>
            <w:spacing w:after="120"/>
            <w:contextualSpacing/>
            <w:rPr>
              <w:rFonts w:ascii="Calibri" w:hAnsi="Calibri" w:cs="Calibri"/>
            </w:rPr>
          </w:pPr>
          <w:r w:rsidRPr="00685D31">
            <w:rPr>
              <w:rFonts w:ascii="Calibri" w:hAnsi="Calibri" w:cs="Calibri"/>
              <w:b/>
              <w:bCs/>
              <w:noProof/>
            </w:rPr>
            <w:fldChar w:fldCharType="end"/>
          </w:r>
        </w:p>
      </w:sdtContent>
    </w:sdt>
    <w:p w14:paraId="46C83556" w14:textId="77777777" w:rsidR="00AE285E" w:rsidRPr="00685D31" w:rsidRDefault="00AE285E" w:rsidP="00DA20FA">
      <w:pPr>
        <w:spacing w:after="120"/>
        <w:contextualSpacing/>
        <w:jc w:val="left"/>
        <w:rPr>
          <w:rFonts w:ascii="Calibri" w:hAnsi="Calibri" w:cs="Calibri"/>
          <w:b/>
          <w:bCs/>
        </w:rPr>
      </w:pPr>
      <w:r w:rsidRPr="00685D31">
        <w:rPr>
          <w:rFonts w:ascii="Calibri" w:hAnsi="Calibri" w:cs="Calibri"/>
          <w:b/>
          <w:bCs/>
        </w:rPr>
        <w:br w:type="page"/>
      </w:r>
    </w:p>
    <w:p w14:paraId="69852E34" w14:textId="77777777" w:rsidR="005973CA" w:rsidRPr="00685D31" w:rsidRDefault="001A1D40" w:rsidP="00DA20FA">
      <w:pPr>
        <w:pStyle w:val="Heading1"/>
        <w:rPr>
          <w:rFonts w:ascii="Calibri" w:hAnsi="Calibri" w:cs="Calibri"/>
          <w:sz w:val="22"/>
          <w:szCs w:val="22"/>
        </w:rPr>
      </w:pPr>
      <w:bookmarkStart w:id="3" w:name="_Toc192686215"/>
      <w:r w:rsidRPr="00685D31">
        <w:rPr>
          <w:rFonts w:ascii="Calibri" w:hAnsi="Calibri" w:cs="Calibri"/>
          <w:sz w:val="22"/>
          <w:szCs w:val="22"/>
        </w:rPr>
        <w:lastRenderedPageBreak/>
        <w:t>1. Introduction</w:t>
      </w:r>
      <w:bookmarkEnd w:id="3"/>
    </w:p>
    <w:p w14:paraId="312439C5" w14:textId="77777777" w:rsidR="00987D2E" w:rsidRDefault="00987D2E" w:rsidP="00987D2E">
      <w:pPr>
        <w:spacing w:after="120"/>
        <w:contextualSpacing/>
        <w:rPr>
          <w:rFonts w:ascii="Calibri" w:hAnsi="Calibri" w:cs="Calibri"/>
        </w:rPr>
      </w:pPr>
      <w:r w:rsidRPr="00987D2E">
        <w:rPr>
          <w:rFonts w:ascii="Calibri" w:hAnsi="Calibri" w:cs="Calibri"/>
        </w:rPr>
        <w:t xml:space="preserve">Galway Business School has committed itself to embracing an inclusive Quality Assurance and Enhancement culture </w:t>
      </w:r>
      <w:proofErr w:type="gramStart"/>
      <w:r w:rsidRPr="00987D2E">
        <w:rPr>
          <w:rFonts w:ascii="Calibri" w:hAnsi="Calibri" w:cs="Calibri"/>
        </w:rPr>
        <w:t>in order to</w:t>
      </w:r>
      <w:proofErr w:type="gramEnd"/>
      <w:r w:rsidRPr="00987D2E">
        <w:rPr>
          <w:rFonts w:ascii="Calibri" w:hAnsi="Calibri" w:cs="Calibri"/>
        </w:rPr>
        <w:t xml:space="preserve"> </w:t>
      </w:r>
      <w:r>
        <w:rPr>
          <w:rFonts w:ascii="Calibri" w:hAnsi="Calibri" w:cs="Calibri"/>
        </w:rPr>
        <w:t xml:space="preserve">we see our role in representing and upholding </w:t>
      </w:r>
      <w:r w:rsidRPr="002B4BA7">
        <w:rPr>
          <w:rFonts w:ascii="Calibri" w:hAnsi="Calibri" w:cs="Calibri"/>
        </w:rPr>
        <w:t xml:space="preserve">the integrity and </w:t>
      </w:r>
      <w:r>
        <w:rPr>
          <w:rFonts w:ascii="Calibri" w:hAnsi="Calibri" w:cs="Calibri"/>
        </w:rPr>
        <w:t xml:space="preserve">standing </w:t>
      </w:r>
      <w:r w:rsidRPr="002B4BA7">
        <w:rPr>
          <w:rFonts w:ascii="Calibri" w:hAnsi="Calibri" w:cs="Calibri"/>
        </w:rPr>
        <w:t xml:space="preserve">of </w:t>
      </w:r>
      <w:r>
        <w:rPr>
          <w:rFonts w:ascii="Calibri" w:hAnsi="Calibri" w:cs="Calibri"/>
        </w:rPr>
        <w:t xml:space="preserve">HE in Ireland </w:t>
      </w:r>
      <w:r w:rsidRPr="002B4BA7">
        <w:rPr>
          <w:rFonts w:ascii="Calibri" w:hAnsi="Calibri" w:cs="Calibri"/>
        </w:rPr>
        <w:t>internationally</w:t>
      </w:r>
      <w:r>
        <w:rPr>
          <w:rFonts w:ascii="Calibri" w:hAnsi="Calibri" w:cs="Calibri"/>
        </w:rPr>
        <w:t xml:space="preserve">. </w:t>
      </w:r>
    </w:p>
    <w:p w14:paraId="3E4D62B9" w14:textId="77777777" w:rsidR="00987D2E" w:rsidRPr="00987D2E" w:rsidRDefault="00987D2E" w:rsidP="002B4BA7">
      <w:pPr>
        <w:spacing w:after="120"/>
        <w:contextualSpacing/>
        <w:rPr>
          <w:rFonts w:ascii="Calibri" w:hAnsi="Calibri" w:cs="Calibri"/>
        </w:rPr>
      </w:pPr>
    </w:p>
    <w:p w14:paraId="20925FA6" w14:textId="6C6F92C7" w:rsidR="002B4BA7" w:rsidRDefault="007344C9" w:rsidP="002B4BA7">
      <w:pPr>
        <w:spacing w:after="120"/>
        <w:contextualSpacing/>
        <w:rPr>
          <w:rFonts w:ascii="Calibri" w:hAnsi="Calibri" w:cs="Calibri"/>
        </w:rPr>
      </w:pPr>
      <w:r w:rsidRPr="00685D31">
        <w:rPr>
          <w:rFonts w:ascii="Calibri" w:hAnsi="Calibri" w:cs="Calibri"/>
        </w:rPr>
        <w:t>Galway Business School</w:t>
      </w:r>
      <w:r w:rsidRPr="005973CA">
        <w:rPr>
          <w:rFonts w:ascii="Calibri" w:hAnsi="Calibri" w:cs="Calibri"/>
        </w:rPr>
        <w:t xml:space="preserve"> </w:t>
      </w:r>
      <w:r w:rsidR="002E02F8">
        <w:rPr>
          <w:rFonts w:ascii="Calibri" w:hAnsi="Calibri" w:cs="Calibri"/>
        </w:rPr>
        <w:t xml:space="preserve">welcomes the introduction of a code of practice for the provision of programmes of education and training to international learners. We are </w:t>
      </w:r>
      <w:r w:rsidR="002E02F8" w:rsidRPr="00B17360">
        <w:rPr>
          <w:rFonts w:ascii="Calibri" w:hAnsi="Calibri" w:cs="Calibri"/>
        </w:rPr>
        <w:t xml:space="preserve">committed to enhancing the quality of the service and supports made available to international learners </w:t>
      </w:r>
      <w:r w:rsidR="002E02F8">
        <w:rPr>
          <w:rFonts w:ascii="Calibri" w:hAnsi="Calibri" w:cs="Calibri"/>
        </w:rPr>
        <w:t xml:space="preserve">and to </w:t>
      </w:r>
      <w:r w:rsidR="00B17360" w:rsidRPr="00B17360">
        <w:rPr>
          <w:rFonts w:ascii="Calibri" w:hAnsi="Calibri" w:cs="Calibri"/>
        </w:rPr>
        <w:t xml:space="preserve">demonstrating this through successful achievement of the </w:t>
      </w:r>
      <w:proofErr w:type="spellStart"/>
      <w:r w:rsidR="00B17360" w:rsidRPr="00B17360">
        <w:rPr>
          <w:rFonts w:ascii="Calibri" w:hAnsi="Calibri" w:cs="Calibri"/>
        </w:rPr>
        <w:t>TrustEd</w:t>
      </w:r>
      <w:proofErr w:type="spellEnd"/>
      <w:r w:rsidR="00B17360" w:rsidRPr="00B17360">
        <w:rPr>
          <w:rFonts w:ascii="Calibri" w:hAnsi="Calibri" w:cs="Calibri"/>
        </w:rPr>
        <w:t xml:space="preserve"> Ireland </w:t>
      </w:r>
      <w:r w:rsidR="00B17360">
        <w:rPr>
          <w:rFonts w:ascii="Calibri" w:hAnsi="Calibri" w:cs="Calibri"/>
        </w:rPr>
        <w:t>International Education Mark</w:t>
      </w:r>
      <w:r w:rsidR="00B17360" w:rsidRPr="00B17360">
        <w:rPr>
          <w:rFonts w:ascii="Calibri" w:hAnsi="Calibri" w:cs="Calibri"/>
        </w:rPr>
        <w:t xml:space="preserve">. </w:t>
      </w:r>
    </w:p>
    <w:p w14:paraId="0B1B3F14" w14:textId="77777777" w:rsidR="002B4BA7" w:rsidRDefault="002B4BA7" w:rsidP="002B4BA7">
      <w:pPr>
        <w:spacing w:after="120"/>
        <w:contextualSpacing/>
        <w:rPr>
          <w:rFonts w:ascii="Calibri" w:hAnsi="Calibri" w:cs="Calibri"/>
        </w:rPr>
      </w:pPr>
    </w:p>
    <w:p w14:paraId="2D289799" w14:textId="3022C982" w:rsidR="002C72EE" w:rsidRDefault="002C72EE" w:rsidP="002B4BA7">
      <w:pPr>
        <w:spacing w:after="120"/>
        <w:contextualSpacing/>
        <w:rPr>
          <w:rFonts w:ascii="Calibri" w:hAnsi="Calibri" w:cs="Calibri"/>
        </w:rPr>
      </w:pPr>
      <w:r>
        <w:rPr>
          <w:rFonts w:ascii="Calibri" w:hAnsi="Calibri" w:cs="Calibri"/>
        </w:rPr>
        <w:t>The</w:t>
      </w:r>
      <w:r w:rsidRPr="002C72EE">
        <w:rPr>
          <w:rFonts w:ascii="Calibri" w:hAnsi="Calibri" w:cs="Calibri"/>
        </w:rPr>
        <w:t xml:space="preserve"> QQI Policy Code of Practice for Provision of Programmes of Higher Education to International </w:t>
      </w:r>
      <w:r w:rsidR="000100B8" w:rsidRPr="002C72EE">
        <w:rPr>
          <w:rFonts w:ascii="Calibri" w:hAnsi="Calibri" w:cs="Calibri"/>
        </w:rPr>
        <w:t>Learners</w:t>
      </w:r>
      <w:r w:rsidR="000100B8">
        <w:rPr>
          <w:rFonts w:ascii="Calibri" w:hAnsi="Calibri" w:cs="Calibri"/>
        </w:rPr>
        <w:t xml:space="preserve"> </w:t>
      </w:r>
      <w:r w:rsidR="000100B8" w:rsidRPr="002C72EE">
        <w:rPr>
          <w:rFonts w:ascii="Calibri" w:hAnsi="Calibri" w:cs="Calibri"/>
        </w:rPr>
        <w:t>provides</w:t>
      </w:r>
      <w:r w:rsidRPr="007344C9">
        <w:rPr>
          <w:rFonts w:ascii="Calibri" w:hAnsi="Calibri" w:cs="Calibri"/>
        </w:rPr>
        <w:t xml:space="preserve"> a basis for the development of a comprehensive policy framework for </w:t>
      </w:r>
      <w:r>
        <w:rPr>
          <w:rFonts w:ascii="Calibri" w:hAnsi="Calibri" w:cs="Calibri"/>
        </w:rPr>
        <w:t xml:space="preserve">the </w:t>
      </w:r>
      <w:r w:rsidRPr="007344C9">
        <w:rPr>
          <w:rFonts w:ascii="Calibri" w:hAnsi="Calibri" w:cs="Calibri"/>
        </w:rPr>
        <w:t xml:space="preserve">provision of education, training and related supports to international learners. </w:t>
      </w:r>
    </w:p>
    <w:p w14:paraId="5B5C0247" w14:textId="77777777" w:rsidR="002C72EE" w:rsidRDefault="002C72EE" w:rsidP="002B4BA7">
      <w:pPr>
        <w:spacing w:after="120"/>
        <w:contextualSpacing/>
        <w:rPr>
          <w:rFonts w:ascii="Calibri" w:hAnsi="Calibri" w:cs="Calibri"/>
        </w:rPr>
      </w:pPr>
    </w:p>
    <w:p w14:paraId="4953992E" w14:textId="7B5F083F" w:rsidR="002B4BA7" w:rsidRDefault="002B4BA7" w:rsidP="002B4BA7">
      <w:pPr>
        <w:spacing w:after="120"/>
        <w:contextualSpacing/>
        <w:rPr>
          <w:rFonts w:ascii="Calibri" w:hAnsi="Calibri" w:cs="Calibri"/>
        </w:rPr>
      </w:pPr>
      <w:r w:rsidRPr="00685D31">
        <w:rPr>
          <w:rFonts w:ascii="Calibri" w:hAnsi="Calibri" w:cs="Calibri"/>
        </w:rPr>
        <w:t xml:space="preserve">This </w:t>
      </w:r>
      <w:r>
        <w:rPr>
          <w:rFonts w:ascii="Calibri" w:hAnsi="Calibri" w:cs="Calibri"/>
        </w:rPr>
        <w:t xml:space="preserve">English Language </w:t>
      </w:r>
      <w:r w:rsidRPr="00685D31">
        <w:rPr>
          <w:rFonts w:ascii="Calibri" w:hAnsi="Calibri" w:cs="Calibri"/>
        </w:rPr>
        <w:t xml:space="preserve">policy </w:t>
      </w:r>
      <w:r>
        <w:rPr>
          <w:rFonts w:ascii="Calibri" w:hAnsi="Calibri" w:cs="Calibri"/>
        </w:rPr>
        <w:t>aligns</w:t>
      </w:r>
      <w:r w:rsidRPr="00685D31">
        <w:rPr>
          <w:rFonts w:ascii="Calibri" w:hAnsi="Calibri" w:cs="Calibri"/>
        </w:rPr>
        <w:t xml:space="preserve"> </w:t>
      </w:r>
      <w:r w:rsidR="002C72EE">
        <w:rPr>
          <w:rFonts w:ascii="Calibri" w:hAnsi="Calibri" w:cs="Calibri"/>
        </w:rPr>
        <w:t>th</w:t>
      </w:r>
      <w:r w:rsidR="0083747C">
        <w:rPr>
          <w:rFonts w:ascii="Calibri" w:hAnsi="Calibri" w:cs="Calibri"/>
        </w:rPr>
        <w:t>e HE</w:t>
      </w:r>
      <w:r w:rsidR="002C72EE">
        <w:rPr>
          <w:rFonts w:ascii="Calibri" w:hAnsi="Calibri" w:cs="Calibri"/>
        </w:rPr>
        <w:t xml:space="preserve"> </w:t>
      </w:r>
      <w:r w:rsidR="0083747C">
        <w:rPr>
          <w:rFonts w:ascii="Calibri" w:hAnsi="Calibri" w:cs="Calibri"/>
        </w:rPr>
        <w:t>Code of Practice,</w:t>
      </w:r>
      <w:r w:rsidR="002C72EE">
        <w:rPr>
          <w:rFonts w:ascii="Calibri" w:hAnsi="Calibri" w:cs="Calibri"/>
        </w:rPr>
        <w:t xml:space="preserve"> </w:t>
      </w:r>
      <w:r w:rsidRPr="00685D31">
        <w:rPr>
          <w:rFonts w:ascii="Calibri" w:hAnsi="Calibri" w:cs="Calibri"/>
        </w:rPr>
        <w:t xml:space="preserve">with </w:t>
      </w:r>
      <w:hyperlink r:id="rId9" w:history="1">
        <w:r w:rsidRPr="00685D31">
          <w:rPr>
            <w:rStyle w:val="Hyperlink"/>
            <w:rFonts w:ascii="Calibri" w:hAnsi="Calibri" w:cs="Calibri"/>
          </w:rPr>
          <w:t>QQI’s Core Statutory Quality Guidelines</w:t>
        </w:r>
      </w:hyperlink>
      <w:r w:rsidR="002C72EE">
        <w:rPr>
          <w:rFonts w:ascii="Calibri" w:hAnsi="Calibri" w:cs="Calibri"/>
        </w:rPr>
        <w:t xml:space="preserve"> and </w:t>
      </w:r>
      <w:r>
        <w:rPr>
          <w:rFonts w:ascii="Calibri" w:hAnsi="Calibri" w:cs="Calibri"/>
        </w:rPr>
        <w:t xml:space="preserve"> </w:t>
      </w:r>
      <w:r w:rsidR="0083747C">
        <w:rPr>
          <w:rFonts w:ascii="Calibri" w:hAnsi="Calibri" w:cs="Calibri"/>
        </w:rPr>
        <w:t xml:space="preserve">with </w:t>
      </w:r>
      <w:r>
        <w:rPr>
          <w:rFonts w:ascii="Calibri" w:hAnsi="Calibri" w:cs="Calibri"/>
        </w:rPr>
        <w:t xml:space="preserve">the </w:t>
      </w:r>
      <w:hyperlink r:id="rId10" w:history="1">
        <w:r w:rsidRPr="00685D31">
          <w:rPr>
            <w:rStyle w:val="Hyperlink"/>
            <w:rFonts w:ascii="Calibri" w:hAnsi="Calibri" w:cs="Calibri"/>
          </w:rPr>
          <w:t>Lisbon Recognition Convention</w:t>
        </w:r>
      </w:hyperlink>
      <w:r w:rsidR="002C72EE">
        <w:rPr>
          <w:rFonts w:ascii="Calibri" w:hAnsi="Calibri" w:cs="Calibri"/>
        </w:rPr>
        <w:t xml:space="preserve">. </w:t>
      </w:r>
    </w:p>
    <w:p w14:paraId="47DD34F2" w14:textId="77777777" w:rsidR="000100B8" w:rsidRDefault="000100B8" w:rsidP="002B4BA7">
      <w:pPr>
        <w:spacing w:after="120"/>
        <w:contextualSpacing/>
        <w:rPr>
          <w:rFonts w:ascii="Calibri" w:hAnsi="Calibri" w:cs="Calibri"/>
        </w:rPr>
      </w:pPr>
    </w:p>
    <w:p w14:paraId="4184B3A2" w14:textId="7A94D0E4" w:rsidR="000100B8" w:rsidRPr="00685D31" w:rsidRDefault="000100B8" w:rsidP="000100B8">
      <w:pPr>
        <w:pStyle w:val="Heading2"/>
        <w:rPr>
          <w:rFonts w:ascii="Calibri" w:hAnsi="Calibri" w:cs="Calibri"/>
          <w:sz w:val="22"/>
          <w:szCs w:val="22"/>
        </w:rPr>
      </w:pPr>
      <w:r w:rsidRPr="00685D31">
        <w:rPr>
          <w:rFonts w:ascii="Calibri" w:hAnsi="Calibri" w:cs="Calibri"/>
          <w:sz w:val="22"/>
          <w:szCs w:val="22"/>
        </w:rPr>
        <w:t>1.</w:t>
      </w:r>
      <w:r>
        <w:rPr>
          <w:rFonts w:ascii="Calibri" w:hAnsi="Calibri" w:cs="Calibri"/>
          <w:sz w:val="22"/>
          <w:szCs w:val="22"/>
        </w:rPr>
        <w:t>1</w:t>
      </w:r>
      <w:r w:rsidRPr="00685D31">
        <w:rPr>
          <w:rFonts w:ascii="Calibri" w:hAnsi="Calibri" w:cs="Calibri"/>
          <w:sz w:val="22"/>
          <w:szCs w:val="22"/>
        </w:rPr>
        <w:t xml:space="preserve"> Scope</w:t>
      </w:r>
    </w:p>
    <w:p w14:paraId="1AEC2B4A" w14:textId="77777777" w:rsidR="000100B8" w:rsidRDefault="000100B8" w:rsidP="000100B8">
      <w:pPr>
        <w:spacing w:after="120"/>
        <w:contextualSpacing/>
        <w:rPr>
          <w:rFonts w:ascii="Calibri" w:hAnsi="Calibri" w:cs="Calibri"/>
        </w:rPr>
      </w:pPr>
      <w:r w:rsidRPr="00685D31">
        <w:rPr>
          <w:rFonts w:ascii="Calibri" w:hAnsi="Calibri" w:cs="Calibri"/>
        </w:rPr>
        <w:t xml:space="preserve">This policy applies to all </w:t>
      </w:r>
      <w:r>
        <w:rPr>
          <w:rFonts w:ascii="Calibri" w:hAnsi="Calibri" w:cs="Calibri"/>
        </w:rPr>
        <w:t xml:space="preserve">international learners applying for undergraduate </w:t>
      </w:r>
      <w:r w:rsidRPr="00685D31">
        <w:rPr>
          <w:rFonts w:ascii="Calibri" w:hAnsi="Calibri" w:cs="Calibri"/>
        </w:rPr>
        <w:t>programmes of study at Galway Business School. An international learner is defined as ‘a person who is not an Irish citizen but is lawfully in the state primarily to receive education and training’ (</w:t>
      </w:r>
      <w:hyperlink r:id="rId11" w:history="1">
        <w:r w:rsidRPr="00685D31">
          <w:rPr>
            <w:rStyle w:val="Hyperlink"/>
            <w:rFonts w:ascii="Calibri" w:hAnsi="Calibri" w:cs="Calibri"/>
          </w:rPr>
          <w:t>Section 2(1) of the 2012 Act</w:t>
        </w:r>
      </w:hyperlink>
      <w:r w:rsidRPr="00685D31">
        <w:rPr>
          <w:rFonts w:ascii="Calibri" w:hAnsi="Calibri" w:cs="Calibri"/>
        </w:rPr>
        <w:t>)</w:t>
      </w:r>
      <w:r w:rsidRPr="00111C51">
        <w:rPr>
          <w:rFonts w:ascii="Calibri" w:hAnsi="Calibri" w:cs="Calibri"/>
        </w:rPr>
        <w:t xml:space="preserve"> </w:t>
      </w:r>
    </w:p>
    <w:p w14:paraId="71457CC3" w14:textId="77777777" w:rsidR="000100B8" w:rsidRDefault="000100B8" w:rsidP="000100B8">
      <w:pPr>
        <w:spacing w:after="120"/>
        <w:contextualSpacing/>
        <w:rPr>
          <w:rFonts w:ascii="Calibri" w:hAnsi="Calibri" w:cs="Calibri"/>
        </w:rPr>
      </w:pPr>
    </w:p>
    <w:p w14:paraId="11D03E9A" w14:textId="77777777" w:rsidR="000100B8" w:rsidRPr="00E64591" w:rsidRDefault="000100B8" w:rsidP="000100B8">
      <w:pPr>
        <w:spacing w:after="120"/>
        <w:contextualSpacing/>
        <w:rPr>
          <w:rFonts w:ascii="Calibri" w:hAnsi="Calibri" w:cs="Calibri"/>
        </w:rPr>
      </w:pPr>
      <w:r>
        <w:rPr>
          <w:rFonts w:ascii="Calibri" w:hAnsi="Calibri" w:cs="Calibri"/>
        </w:rPr>
        <w:t>GBS international learners who fall within the scope of this policy</w:t>
      </w:r>
      <w:r w:rsidRPr="00E64591">
        <w:rPr>
          <w:rFonts w:ascii="Calibri" w:hAnsi="Calibri" w:cs="Calibri"/>
        </w:rPr>
        <w:t>:</w:t>
      </w:r>
    </w:p>
    <w:p w14:paraId="7CFE53DD" w14:textId="77777777" w:rsidR="000100B8" w:rsidRPr="00E64591" w:rsidRDefault="000100B8" w:rsidP="000100B8">
      <w:pPr>
        <w:pStyle w:val="ListParagraph"/>
        <w:numPr>
          <w:ilvl w:val="0"/>
          <w:numId w:val="20"/>
        </w:numPr>
        <w:spacing w:after="120"/>
        <w:rPr>
          <w:rFonts w:ascii="Calibri" w:hAnsi="Calibri" w:cs="Calibri"/>
        </w:rPr>
      </w:pPr>
      <w:r w:rsidRPr="00E64591">
        <w:rPr>
          <w:rFonts w:ascii="Calibri" w:hAnsi="Calibri" w:cs="Calibri"/>
        </w:rPr>
        <w:t xml:space="preserve">EU/EEA students in the state undertaking </w:t>
      </w:r>
      <w:r>
        <w:rPr>
          <w:rFonts w:ascii="Calibri" w:hAnsi="Calibri" w:cs="Calibri"/>
        </w:rPr>
        <w:t xml:space="preserve">GBS </w:t>
      </w:r>
      <w:r w:rsidRPr="00E64591">
        <w:rPr>
          <w:rFonts w:ascii="Calibri" w:hAnsi="Calibri" w:cs="Calibri"/>
        </w:rPr>
        <w:t xml:space="preserve">programmes that lead to major or non-major awards that are included within the </w:t>
      </w:r>
      <w:proofErr w:type="gramStart"/>
      <w:r w:rsidRPr="00E64591">
        <w:rPr>
          <w:rFonts w:ascii="Calibri" w:hAnsi="Calibri" w:cs="Calibri"/>
        </w:rPr>
        <w:t>NFQ;</w:t>
      </w:r>
      <w:proofErr w:type="gramEnd"/>
    </w:p>
    <w:p w14:paraId="43E42EC9" w14:textId="77777777" w:rsidR="000100B8" w:rsidRPr="00E64591" w:rsidRDefault="000100B8" w:rsidP="000100B8">
      <w:pPr>
        <w:pStyle w:val="ListParagraph"/>
        <w:numPr>
          <w:ilvl w:val="0"/>
          <w:numId w:val="20"/>
        </w:numPr>
        <w:spacing w:after="120"/>
        <w:rPr>
          <w:rFonts w:ascii="Calibri" w:hAnsi="Calibri" w:cs="Calibri"/>
        </w:rPr>
      </w:pPr>
      <w:r w:rsidRPr="00E64591">
        <w:rPr>
          <w:rFonts w:ascii="Calibri" w:hAnsi="Calibri" w:cs="Calibri"/>
        </w:rPr>
        <w:t xml:space="preserve">Non-EU/EEA students in the state undertaking </w:t>
      </w:r>
      <w:r>
        <w:rPr>
          <w:rFonts w:ascii="Calibri" w:hAnsi="Calibri" w:cs="Calibri"/>
        </w:rPr>
        <w:t xml:space="preserve">GBS </w:t>
      </w:r>
      <w:r w:rsidRPr="00E64591">
        <w:rPr>
          <w:rFonts w:ascii="Calibri" w:hAnsi="Calibri" w:cs="Calibri"/>
        </w:rPr>
        <w:t xml:space="preserve">programmes leading to major or non-major awards that are included within the </w:t>
      </w:r>
      <w:proofErr w:type="gramStart"/>
      <w:r w:rsidRPr="00E64591">
        <w:rPr>
          <w:rFonts w:ascii="Calibri" w:hAnsi="Calibri" w:cs="Calibri"/>
        </w:rPr>
        <w:t>NFQ;</w:t>
      </w:r>
      <w:proofErr w:type="gramEnd"/>
    </w:p>
    <w:p w14:paraId="23E3A545" w14:textId="77777777" w:rsidR="000100B8" w:rsidRPr="00E64591" w:rsidRDefault="000100B8" w:rsidP="000100B8">
      <w:pPr>
        <w:spacing w:after="120"/>
        <w:rPr>
          <w:rFonts w:ascii="Calibri" w:hAnsi="Calibri" w:cs="Calibri"/>
        </w:rPr>
      </w:pPr>
      <w:r>
        <w:rPr>
          <w:rFonts w:ascii="Calibri" w:hAnsi="Calibri" w:cs="Calibri"/>
        </w:rPr>
        <w:t>GBS i</w:t>
      </w:r>
      <w:r w:rsidRPr="00E64591">
        <w:rPr>
          <w:rFonts w:ascii="Calibri" w:hAnsi="Calibri" w:cs="Calibri"/>
        </w:rPr>
        <w:t>nternational learners who</w:t>
      </w:r>
      <w:r>
        <w:rPr>
          <w:rFonts w:ascii="Calibri" w:hAnsi="Calibri" w:cs="Calibri"/>
        </w:rPr>
        <w:t xml:space="preserve"> do not</w:t>
      </w:r>
      <w:r w:rsidRPr="00E64591">
        <w:rPr>
          <w:rFonts w:ascii="Calibri" w:hAnsi="Calibri" w:cs="Calibri"/>
        </w:rPr>
        <w:t xml:space="preserve"> fall within the scope of this policy:</w:t>
      </w:r>
    </w:p>
    <w:p w14:paraId="6F481025" w14:textId="77777777" w:rsidR="000100B8" w:rsidRPr="00E64591" w:rsidRDefault="000100B8" w:rsidP="000100B8">
      <w:pPr>
        <w:pStyle w:val="ListParagraph"/>
        <w:numPr>
          <w:ilvl w:val="0"/>
          <w:numId w:val="23"/>
        </w:numPr>
        <w:spacing w:after="120"/>
        <w:rPr>
          <w:rFonts w:ascii="Calibri" w:hAnsi="Calibri" w:cs="Calibri"/>
        </w:rPr>
      </w:pPr>
      <w:r w:rsidRPr="00E64591">
        <w:rPr>
          <w:rFonts w:ascii="Calibri" w:hAnsi="Calibri" w:cs="Calibri"/>
        </w:rPr>
        <w:t xml:space="preserve">Learners enrolled on </w:t>
      </w:r>
      <w:r>
        <w:rPr>
          <w:rFonts w:ascii="Calibri" w:hAnsi="Calibri" w:cs="Calibri"/>
        </w:rPr>
        <w:t xml:space="preserve">GBS </w:t>
      </w:r>
      <w:r w:rsidRPr="00E64591">
        <w:rPr>
          <w:rFonts w:ascii="Calibri" w:hAnsi="Calibri" w:cs="Calibri"/>
        </w:rPr>
        <w:t xml:space="preserve">English Language Programmes which do not lead to awards included within the NFQ e.g. Study Abroad </w:t>
      </w:r>
      <w:proofErr w:type="gramStart"/>
      <w:r w:rsidRPr="00E64591">
        <w:rPr>
          <w:rFonts w:ascii="Calibri" w:hAnsi="Calibri" w:cs="Calibri"/>
        </w:rPr>
        <w:t>Programmes;</w:t>
      </w:r>
      <w:proofErr w:type="gramEnd"/>
      <w:r w:rsidRPr="00E64591">
        <w:rPr>
          <w:rFonts w:ascii="Calibri" w:hAnsi="Calibri" w:cs="Calibri"/>
        </w:rPr>
        <w:t xml:space="preserve"> Erasmus exchange students.</w:t>
      </w:r>
    </w:p>
    <w:p w14:paraId="122D9140" w14:textId="77777777" w:rsidR="002B4BA7" w:rsidRDefault="002B4BA7" w:rsidP="002B4BA7">
      <w:pPr>
        <w:spacing w:after="120"/>
        <w:contextualSpacing/>
        <w:rPr>
          <w:rFonts w:ascii="Calibri" w:hAnsi="Calibri" w:cs="Calibri"/>
        </w:rPr>
      </w:pPr>
    </w:p>
    <w:p w14:paraId="4AB7ABC6" w14:textId="7F4DD8BA" w:rsidR="005973CA" w:rsidRPr="00685D31" w:rsidRDefault="005973CA" w:rsidP="00C36A30">
      <w:pPr>
        <w:pStyle w:val="Heading2"/>
        <w:rPr>
          <w:rFonts w:ascii="Calibri" w:hAnsi="Calibri" w:cs="Calibri"/>
          <w:sz w:val="22"/>
          <w:szCs w:val="22"/>
        </w:rPr>
      </w:pPr>
      <w:bookmarkStart w:id="4" w:name="_Toc192686216"/>
      <w:r w:rsidRPr="00685D31">
        <w:rPr>
          <w:rFonts w:ascii="Calibri" w:hAnsi="Calibri" w:cs="Calibri"/>
          <w:sz w:val="22"/>
          <w:szCs w:val="22"/>
        </w:rPr>
        <w:lastRenderedPageBreak/>
        <w:t>1.1 Purpose</w:t>
      </w:r>
      <w:bookmarkEnd w:id="4"/>
    </w:p>
    <w:p w14:paraId="7D4536AB" w14:textId="77777777" w:rsidR="00B17360" w:rsidRDefault="005973CA" w:rsidP="00DA20FA">
      <w:pPr>
        <w:spacing w:after="120"/>
        <w:contextualSpacing/>
        <w:rPr>
          <w:rFonts w:ascii="Calibri" w:hAnsi="Calibri" w:cs="Calibri"/>
        </w:rPr>
      </w:pPr>
      <w:r w:rsidRPr="00685D31">
        <w:rPr>
          <w:rFonts w:ascii="Calibri" w:hAnsi="Calibri" w:cs="Calibri"/>
        </w:rPr>
        <w:t xml:space="preserve">The purpose of this English Language Policy, and associated Policy Statement, is </w:t>
      </w:r>
      <w:r w:rsidR="00343C50" w:rsidRPr="00685D31">
        <w:rPr>
          <w:rFonts w:ascii="Calibri" w:hAnsi="Calibri" w:cs="Calibri"/>
        </w:rPr>
        <w:t>to</w:t>
      </w:r>
      <w:r w:rsidR="00B17360">
        <w:rPr>
          <w:rFonts w:ascii="Calibri" w:hAnsi="Calibri" w:cs="Calibri"/>
        </w:rPr>
        <w:t>:</w:t>
      </w:r>
    </w:p>
    <w:p w14:paraId="38D8EC13" w14:textId="5B0789D0" w:rsidR="00B17360" w:rsidRDefault="00343C50" w:rsidP="00DA20FA">
      <w:pPr>
        <w:pStyle w:val="ListParagraph"/>
        <w:numPr>
          <w:ilvl w:val="0"/>
          <w:numId w:val="18"/>
        </w:numPr>
        <w:spacing w:after="120"/>
        <w:rPr>
          <w:rFonts w:ascii="Calibri" w:hAnsi="Calibri" w:cs="Calibri"/>
        </w:rPr>
      </w:pPr>
      <w:r w:rsidRPr="00B17360">
        <w:rPr>
          <w:rFonts w:ascii="Calibri" w:hAnsi="Calibri" w:cs="Calibri"/>
        </w:rPr>
        <w:t xml:space="preserve">define criteria and standards </w:t>
      </w:r>
      <w:r w:rsidR="007344C9" w:rsidRPr="00B17360">
        <w:rPr>
          <w:rFonts w:ascii="Calibri" w:hAnsi="Calibri" w:cs="Calibri"/>
        </w:rPr>
        <w:t xml:space="preserve">which support fair, transparent, and consistent </w:t>
      </w:r>
      <w:r w:rsidRPr="00B17360">
        <w:rPr>
          <w:rFonts w:ascii="Calibri" w:hAnsi="Calibri" w:cs="Calibri"/>
        </w:rPr>
        <w:t xml:space="preserve">evaluation </w:t>
      </w:r>
      <w:r w:rsidR="007344C9" w:rsidRPr="00B17360">
        <w:rPr>
          <w:rFonts w:ascii="Calibri" w:hAnsi="Calibri" w:cs="Calibri"/>
        </w:rPr>
        <w:t xml:space="preserve">of the </w:t>
      </w:r>
      <w:r w:rsidRPr="00B17360">
        <w:rPr>
          <w:rFonts w:ascii="Calibri" w:hAnsi="Calibri" w:cs="Calibri"/>
        </w:rPr>
        <w:t>English language proficiency of</w:t>
      </w:r>
      <w:r w:rsidR="005973CA" w:rsidRPr="00B17360">
        <w:rPr>
          <w:rFonts w:ascii="Calibri" w:hAnsi="Calibri" w:cs="Calibri"/>
        </w:rPr>
        <w:t xml:space="preserve"> prospective</w:t>
      </w:r>
      <w:r w:rsidRPr="00B17360">
        <w:rPr>
          <w:rFonts w:ascii="Calibri" w:hAnsi="Calibri" w:cs="Calibri"/>
        </w:rPr>
        <w:t xml:space="preserve"> international </w:t>
      </w:r>
      <w:r w:rsidR="005973CA" w:rsidRPr="00B17360">
        <w:rPr>
          <w:rFonts w:ascii="Calibri" w:hAnsi="Calibri" w:cs="Calibri"/>
        </w:rPr>
        <w:t>learners applying for admission</w:t>
      </w:r>
      <w:r w:rsidRPr="00B17360">
        <w:rPr>
          <w:rFonts w:ascii="Calibri" w:hAnsi="Calibri" w:cs="Calibri"/>
        </w:rPr>
        <w:t xml:space="preserve"> to Galway Business School</w:t>
      </w:r>
      <w:r w:rsidR="002E02F8">
        <w:rPr>
          <w:rFonts w:ascii="Calibri" w:hAnsi="Calibri" w:cs="Calibri"/>
        </w:rPr>
        <w:t xml:space="preserve"> programmes </w:t>
      </w:r>
    </w:p>
    <w:p w14:paraId="37880C60" w14:textId="1543B216" w:rsidR="00B17360" w:rsidRDefault="005973CA" w:rsidP="00DA20FA">
      <w:pPr>
        <w:pStyle w:val="ListParagraph"/>
        <w:numPr>
          <w:ilvl w:val="0"/>
          <w:numId w:val="18"/>
        </w:numPr>
        <w:spacing w:after="120"/>
        <w:rPr>
          <w:rFonts w:ascii="Calibri" w:hAnsi="Calibri" w:cs="Calibri"/>
        </w:rPr>
      </w:pPr>
      <w:r w:rsidRPr="00B17360">
        <w:rPr>
          <w:rFonts w:ascii="Calibri" w:hAnsi="Calibri" w:cs="Calibri"/>
        </w:rPr>
        <w:t xml:space="preserve">ensure that </w:t>
      </w:r>
      <w:r w:rsidR="00B17360">
        <w:rPr>
          <w:rFonts w:ascii="Calibri" w:hAnsi="Calibri" w:cs="Calibri"/>
        </w:rPr>
        <w:t xml:space="preserve">international learners have </w:t>
      </w:r>
      <w:r w:rsidRPr="00B17360">
        <w:rPr>
          <w:rFonts w:ascii="Calibri" w:hAnsi="Calibri" w:cs="Calibri"/>
        </w:rPr>
        <w:t xml:space="preserve">the requisite </w:t>
      </w:r>
      <w:r w:rsidR="00B17360" w:rsidRPr="00B17360">
        <w:rPr>
          <w:rFonts w:ascii="Calibri" w:hAnsi="Calibri" w:cs="Calibri"/>
        </w:rPr>
        <w:t xml:space="preserve">English </w:t>
      </w:r>
      <w:r w:rsidRPr="00B17360">
        <w:rPr>
          <w:rFonts w:ascii="Calibri" w:hAnsi="Calibri" w:cs="Calibri"/>
        </w:rPr>
        <w:t>language skills to fully engage in academic studies and professional development while fostering an inclusive environment for learners whose first language is not English.</w:t>
      </w:r>
      <w:r w:rsidR="00B17360" w:rsidRPr="00B17360">
        <w:rPr>
          <w:rFonts w:ascii="Calibri" w:hAnsi="Calibri" w:cs="Calibri"/>
        </w:rPr>
        <w:t xml:space="preserve"> </w:t>
      </w:r>
    </w:p>
    <w:p w14:paraId="79874BD3" w14:textId="49875BB5" w:rsidR="005973CA" w:rsidRDefault="00B17360" w:rsidP="00DA20FA">
      <w:pPr>
        <w:pStyle w:val="ListParagraph"/>
        <w:numPr>
          <w:ilvl w:val="0"/>
          <w:numId w:val="18"/>
        </w:numPr>
        <w:spacing w:after="120"/>
        <w:rPr>
          <w:rFonts w:ascii="Calibri" w:hAnsi="Calibri" w:cs="Calibri"/>
        </w:rPr>
      </w:pPr>
      <w:r>
        <w:rPr>
          <w:rFonts w:ascii="Calibri" w:hAnsi="Calibri" w:cs="Calibri"/>
        </w:rPr>
        <w:t xml:space="preserve">describe </w:t>
      </w:r>
      <w:r w:rsidRPr="00B17360">
        <w:rPr>
          <w:rFonts w:ascii="Calibri" w:hAnsi="Calibri" w:cs="Calibri"/>
        </w:rPr>
        <w:t xml:space="preserve">the English language supports provided to international applicants in receipt of an offer to accept a place on their chosen programme of study.  </w:t>
      </w:r>
    </w:p>
    <w:p w14:paraId="2F6AE514" w14:textId="776BA5A7" w:rsidR="00B17360" w:rsidRPr="00B17360" w:rsidRDefault="00B17360" w:rsidP="00DA20FA">
      <w:pPr>
        <w:pStyle w:val="ListParagraph"/>
        <w:numPr>
          <w:ilvl w:val="0"/>
          <w:numId w:val="18"/>
        </w:numPr>
        <w:spacing w:after="120"/>
        <w:rPr>
          <w:rFonts w:ascii="Calibri" w:hAnsi="Calibri" w:cs="Calibri"/>
        </w:rPr>
      </w:pPr>
      <w:r>
        <w:rPr>
          <w:rFonts w:ascii="Calibri" w:hAnsi="Calibri" w:cs="Calibri"/>
        </w:rPr>
        <w:t>outline</w:t>
      </w:r>
      <w:r w:rsidRPr="00B17360">
        <w:rPr>
          <w:rFonts w:ascii="Calibri" w:hAnsi="Calibri" w:cs="Calibri"/>
        </w:rPr>
        <w:t xml:space="preserve"> the approach to the provision of support and development of English for academic purposes to international applicants in receipt of an offer to accept a place on their chosen programme of study and the quality assurance arrangements for English Language Programmes.</w:t>
      </w:r>
    </w:p>
    <w:p w14:paraId="1CDFC824" w14:textId="3B0200C2" w:rsidR="00C36A30" w:rsidRPr="00B17360" w:rsidRDefault="00C36A30" w:rsidP="00C36A30">
      <w:pPr>
        <w:spacing w:after="120"/>
        <w:contextualSpacing/>
        <w:rPr>
          <w:rFonts w:ascii="Calibri" w:hAnsi="Calibri" w:cs="Calibri"/>
        </w:rPr>
      </w:pPr>
      <w:r w:rsidRPr="00B17360">
        <w:rPr>
          <w:rFonts w:ascii="Calibri" w:hAnsi="Calibri" w:cs="Calibri"/>
        </w:rPr>
        <w:t xml:space="preserve">This policy should be read in conjunction with the GBS ‘Support for Learners Policy’ in addition to GBS’s QA Manual, Section 4.3 ‘Learner Admission, Progression and Recognition of Prior Learning,’ </w:t>
      </w:r>
    </w:p>
    <w:p w14:paraId="500DD383" w14:textId="77777777" w:rsidR="00C36A30" w:rsidRPr="00B17360" w:rsidRDefault="00C36A30" w:rsidP="00C36A30">
      <w:pPr>
        <w:pStyle w:val="ListParagraph"/>
        <w:numPr>
          <w:ilvl w:val="0"/>
          <w:numId w:val="12"/>
        </w:numPr>
        <w:spacing w:after="120"/>
        <w:rPr>
          <w:rFonts w:ascii="Calibri" w:hAnsi="Calibri" w:cs="Calibri"/>
        </w:rPr>
      </w:pPr>
      <w:r w:rsidRPr="00B17360">
        <w:rPr>
          <w:rFonts w:ascii="Calibri" w:hAnsi="Calibri" w:cs="Calibri"/>
        </w:rPr>
        <w:t>Access, Transfer and Progression</w:t>
      </w:r>
    </w:p>
    <w:p w14:paraId="3D78188A" w14:textId="77777777" w:rsidR="00C36A30" w:rsidRPr="00B17360" w:rsidRDefault="00C36A30" w:rsidP="00C36A30">
      <w:pPr>
        <w:pStyle w:val="ListParagraph"/>
        <w:numPr>
          <w:ilvl w:val="0"/>
          <w:numId w:val="12"/>
        </w:numPr>
        <w:spacing w:after="120"/>
        <w:rPr>
          <w:rFonts w:ascii="Calibri" w:hAnsi="Calibri" w:cs="Calibri"/>
        </w:rPr>
      </w:pPr>
      <w:r w:rsidRPr="00B17360">
        <w:rPr>
          <w:rFonts w:ascii="Calibri" w:hAnsi="Calibri" w:cs="Calibri"/>
        </w:rPr>
        <w:t>Recognition of Prior Learning</w:t>
      </w:r>
    </w:p>
    <w:p w14:paraId="12FC2F56" w14:textId="250563CD" w:rsidR="00146335" w:rsidRPr="00146335" w:rsidRDefault="00146335" w:rsidP="00146335">
      <w:pPr>
        <w:pStyle w:val="Heading1"/>
        <w:rPr>
          <w:rFonts w:ascii="Calibri" w:hAnsi="Calibri" w:cs="Calibri"/>
          <w:sz w:val="22"/>
          <w:szCs w:val="22"/>
        </w:rPr>
      </w:pPr>
      <w:r w:rsidRPr="00146335">
        <w:rPr>
          <w:rFonts w:ascii="Calibri" w:hAnsi="Calibri" w:cs="Calibri"/>
          <w:sz w:val="22"/>
          <w:szCs w:val="22"/>
        </w:rPr>
        <w:t>2. Responsibility</w:t>
      </w:r>
    </w:p>
    <w:p w14:paraId="6FB0A811" w14:textId="268F53A4" w:rsidR="00146335" w:rsidRDefault="00146335" w:rsidP="00146335">
      <w:pPr>
        <w:rPr>
          <w:rFonts w:ascii="Calibri" w:hAnsi="Calibri" w:cs="Calibri"/>
        </w:rPr>
      </w:pPr>
      <w:r w:rsidRPr="00146335">
        <w:rPr>
          <w:rFonts w:ascii="Calibri" w:hAnsi="Calibri" w:cs="Calibri"/>
        </w:rPr>
        <w:t>The admissions team is responsible for ensuring adherence to this policy when managing applications from prospective international learners</w:t>
      </w:r>
      <w:r w:rsidR="009530F6">
        <w:rPr>
          <w:rFonts w:ascii="Calibri" w:hAnsi="Calibri" w:cs="Calibri"/>
        </w:rPr>
        <w:t xml:space="preserve"> and is the responsibility of the English language department within Galway Business School</w:t>
      </w:r>
      <w:r w:rsidRPr="00146335">
        <w:rPr>
          <w:rFonts w:ascii="Calibri" w:hAnsi="Calibri" w:cs="Calibri"/>
        </w:rPr>
        <w:t xml:space="preserve">. </w:t>
      </w:r>
    </w:p>
    <w:p w14:paraId="672C8C5C" w14:textId="77777777" w:rsidR="00146335" w:rsidRDefault="00146335" w:rsidP="00146335">
      <w:pPr>
        <w:rPr>
          <w:rFonts w:ascii="Calibri" w:hAnsi="Calibri" w:cs="Calibri"/>
        </w:rPr>
      </w:pPr>
      <w:r w:rsidRPr="00146335">
        <w:rPr>
          <w:rFonts w:ascii="Calibri" w:hAnsi="Calibri" w:cs="Calibri"/>
        </w:rPr>
        <w:t xml:space="preserve">The learner is responsible for ensuring that their application meets all entry requirements, including providing evidence of English language proficiency through accepted certification. </w:t>
      </w:r>
    </w:p>
    <w:p w14:paraId="33118CC0" w14:textId="04A312BE" w:rsidR="00146335" w:rsidRPr="00146335" w:rsidRDefault="00146335" w:rsidP="00146335">
      <w:pPr>
        <w:rPr>
          <w:rFonts w:ascii="Calibri" w:hAnsi="Calibri" w:cs="Calibri"/>
        </w:rPr>
      </w:pPr>
      <w:r w:rsidRPr="00146335">
        <w:rPr>
          <w:rFonts w:ascii="Calibri" w:hAnsi="Calibri" w:cs="Calibri"/>
        </w:rPr>
        <w:t>The Registrar</w:t>
      </w:r>
      <w:r w:rsidR="009530F6">
        <w:rPr>
          <w:rFonts w:ascii="Calibri" w:hAnsi="Calibri" w:cs="Calibri"/>
        </w:rPr>
        <w:t xml:space="preserve"> / Academic </w:t>
      </w:r>
      <w:proofErr w:type="gramStart"/>
      <w:r w:rsidR="009530F6">
        <w:rPr>
          <w:rFonts w:ascii="Calibri" w:hAnsi="Calibri" w:cs="Calibri"/>
        </w:rPr>
        <w:t xml:space="preserve">Manager </w:t>
      </w:r>
      <w:r w:rsidRPr="00146335">
        <w:rPr>
          <w:rFonts w:ascii="Calibri" w:hAnsi="Calibri" w:cs="Calibri"/>
        </w:rPr>
        <w:t xml:space="preserve"> is</w:t>
      </w:r>
      <w:proofErr w:type="gramEnd"/>
      <w:r w:rsidRPr="00146335">
        <w:rPr>
          <w:rFonts w:ascii="Calibri" w:hAnsi="Calibri" w:cs="Calibri"/>
        </w:rPr>
        <w:t xml:space="preserve"> responsible for the implementation and ongoing monitoring of this policy.</w:t>
      </w:r>
    </w:p>
    <w:p w14:paraId="238B68EE" w14:textId="762259B0" w:rsidR="001A1D40" w:rsidRPr="00685D31" w:rsidRDefault="00146335" w:rsidP="00C36A30">
      <w:pPr>
        <w:pStyle w:val="Heading1"/>
        <w:rPr>
          <w:rFonts w:ascii="Calibri" w:hAnsi="Calibri" w:cs="Calibri"/>
          <w:sz w:val="22"/>
          <w:szCs w:val="22"/>
        </w:rPr>
      </w:pPr>
      <w:bookmarkStart w:id="5" w:name="_Toc192686219"/>
      <w:r>
        <w:rPr>
          <w:rFonts w:ascii="Calibri" w:hAnsi="Calibri" w:cs="Calibri"/>
          <w:sz w:val="22"/>
          <w:szCs w:val="22"/>
        </w:rPr>
        <w:t>3</w:t>
      </w:r>
      <w:r w:rsidR="007843F7" w:rsidRPr="00685D31">
        <w:rPr>
          <w:rFonts w:ascii="Calibri" w:hAnsi="Calibri" w:cs="Calibri"/>
          <w:sz w:val="22"/>
          <w:szCs w:val="22"/>
        </w:rPr>
        <w:t xml:space="preserve">. </w:t>
      </w:r>
      <w:r w:rsidR="0078749D">
        <w:rPr>
          <w:rFonts w:ascii="Calibri" w:hAnsi="Calibri" w:cs="Calibri"/>
          <w:sz w:val="22"/>
          <w:szCs w:val="22"/>
        </w:rPr>
        <w:t xml:space="preserve">English Language </w:t>
      </w:r>
      <w:r w:rsidR="007843F7" w:rsidRPr="00685D31">
        <w:rPr>
          <w:rFonts w:ascii="Calibri" w:hAnsi="Calibri" w:cs="Calibri"/>
          <w:sz w:val="22"/>
          <w:szCs w:val="22"/>
        </w:rPr>
        <w:t>Policy Statement</w:t>
      </w:r>
      <w:bookmarkEnd w:id="5"/>
      <w:r w:rsidR="007843F7" w:rsidRPr="00685D31">
        <w:rPr>
          <w:rFonts w:ascii="Calibri" w:hAnsi="Calibri" w:cs="Calibri"/>
          <w:sz w:val="22"/>
          <w:szCs w:val="22"/>
        </w:rPr>
        <w:t xml:space="preserve"> </w:t>
      </w:r>
    </w:p>
    <w:p w14:paraId="581E6626" w14:textId="2022FA0C" w:rsidR="007843F7" w:rsidRPr="00685D31" w:rsidRDefault="00146335" w:rsidP="00C36A30">
      <w:pPr>
        <w:pStyle w:val="Heading2"/>
        <w:rPr>
          <w:rFonts w:ascii="Calibri" w:hAnsi="Calibri" w:cs="Calibri"/>
          <w:sz w:val="22"/>
          <w:szCs w:val="22"/>
        </w:rPr>
      </w:pPr>
      <w:bookmarkStart w:id="6" w:name="_Toc192686220"/>
      <w:r>
        <w:rPr>
          <w:rFonts w:ascii="Calibri" w:hAnsi="Calibri" w:cs="Calibri"/>
          <w:sz w:val="22"/>
          <w:szCs w:val="22"/>
        </w:rPr>
        <w:t>3</w:t>
      </w:r>
      <w:r w:rsidR="007843F7" w:rsidRPr="00685D31">
        <w:rPr>
          <w:rFonts w:ascii="Calibri" w:hAnsi="Calibri" w:cs="Calibri"/>
          <w:sz w:val="22"/>
          <w:szCs w:val="22"/>
        </w:rPr>
        <w:t>.1 Policy Statement Principles</w:t>
      </w:r>
      <w:bookmarkEnd w:id="6"/>
      <w:r w:rsidR="007843F7" w:rsidRPr="00685D31">
        <w:rPr>
          <w:rFonts w:ascii="Calibri" w:hAnsi="Calibri" w:cs="Calibri"/>
          <w:sz w:val="22"/>
          <w:szCs w:val="22"/>
        </w:rPr>
        <w:t xml:space="preserve"> </w:t>
      </w:r>
    </w:p>
    <w:p w14:paraId="4FC86A9E" w14:textId="77777777" w:rsidR="000100B8" w:rsidRDefault="007843F7" w:rsidP="00DA20FA">
      <w:pPr>
        <w:spacing w:after="120"/>
        <w:contextualSpacing/>
        <w:rPr>
          <w:rFonts w:ascii="Calibri" w:hAnsi="Calibri" w:cs="Calibri"/>
        </w:rPr>
      </w:pPr>
      <w:r w:rsidRPr="00685D31">
        <w:rPr>
          <w:rFonts w:ascii="Calibri" w:hAnsi="Calibri" w:cs="Calibri"/>
        </w:rPr>
        <w:t xml:space="preserve">GBS </w:t>
      </w:r>
      <w:r w:rsidRPr="007843F7">
        <w:rPr>
          <w:rFonts w:ascii="Calibri" w:hAnsi="Calibri" w:cs="Calibri"/>
        </w:rPr>
        <w:t>operates a fair, transparent and consistent admissions process, which aims to facilitate the successful participation of all learners, including international learners, in their chosen programme of study.  </w:t>
      </w:r>
    </w:p>
    <w:p w14:paraId="22674E03" w14:textId="174B50C7" w:rsidR="007843F7" w:rsidRDefault="000100B8" w:rsidP="00DA20FA">
      <w:pPr>
        <w:spacing w:after="120"/>
        <w:contextualSpacing/>
        <w:rPr>
          <w:rFonts w:ascii="Calibri" w:hAnsi="Calibri" w:cs="Calibri"/>
        </w:rPr>
      </w:pPr>
      <w:r>
        <w:rPr>
          <w:rFonts w:ascii="Calibri" w:hAnsi="Calibri" w:cs="Calibri"/>
        </w:rPr>
        <w:lastRenderedPageBreak/>
        <w:t>All a</w:t>
      </w:r>
      <w:r w:rsidR="00D36D83" w:rsidRPr="005973CA">
        <w:rPr>
          <w:rFonts w:ascii="Calibri" w:hAnsi="Calibri" w:cs="Calibri"/>
        </w:rPr>
        <w:t xml:space="preserve">pplicants are carefully assessed based on published entry requirements </w:t>
      </w:r>
      <w:r w:rsidR="00D36D83" w:rsidRPr="00685D31">
        <w:rPr>
          <w:rFonts w:ascii="Calibri" w:hAnsi="Calibri" w:cs="Calibri"/>
        </w:rPr>
        <w:t>as</w:t>
      </w:r>
      <w:r w:rsidR="00D36D83" w:rsidRPr="005973CA">
        <w:rPr>
          <w:rFonts w:ascii="Calibri" w:hAnsi="Calibri" w:cs="Calibri"/>
        </w:rPr>
        <w:t xml:space="preserve"> outlined on the </w:t>
      </w:r>
      <w:r w:rsidR="00D36D83" w:rsidRPr="00685D31">
        <w:rPr>
          <w:rFonts w:ascii="Calibri" w:hAnsi="Calibri" w:cs="Calibri"/>
        </w:rPr>
        <w:t xml:space="preserve">GBS </w:t>
      </w:r>
      <w:r w:rsidR="00D36D83" w:rsidRPr="005973CA">
        <w:rPr>
          <w:rFonts w:ascii="Calibri" w:hAnsi="Calibri" w:cs="Calibri"/>
        </w:rPr>
        <w:t>website.</w:t>
      </w:r>
      <w:r w:rsidR="00D36D83">
        <w:rPr>
          <w:rFonts w:ascii="Calibri" w:hAnsi="Calibri" w:cs="Calibri"/>
        </w:rPr>
        <w:t xml:space="preserve"> </w:t>
      </w:r>
      <w:r w:rsidR="007843F7" w:rsidRPr="00685D31">
        <w:rPr>
          <w:rFonts w:ascii="Calibri" w:hAnsi="Calibri" w:cs="Calibri"/>
        </w:rPr>
        <w:t xml:space="preserve">GBS has established a range of policies and operational procedures to support </w:t>
      </w:r>
      <w:r w:rsidR="00166060">
        <w:rPr>
          <w:rFonts w:ascii="Calibri" w:hAnsi="Calibri" w:cs="Calibri"/>
        </w:rPr>
        <w:t xml:space="preserve">the </w:t>
      </w:r>
      <w:r w:rsidR="007843F7" w:rsidRPr="00685D31">
        <w:rPr>
          <w:rFonts w:ascii="Calibri" w:hAnsi="Calibri" w:cs="Calibri"/>
        </w:rPr>
        <w:t>recruitment, admission and retention of international learners in programmes of education.</w:t>
      </w:r>
      <w:r w:rsidR="007843F7" w:rsidRPr="00166060">
        <w:rPr>
          <w:rFonts w:ascii="Calibri" w:hAnsi="Calibri" w:cs="Calibri"/>
        </w:rPr>
        <w:t xml:space="preserve"> </w:t>
      </w:r>
    </w:p>
    <w:p w14:paraId="60C5731F" w14:textId="77777777" w:rsidR="000100B8" w:rsidRDefault="000100B8" w:rsidP="00DA20FA">
      <w:pPr>
        <w:spacing w:after="120"/>
        <w:contextualSpacing/>
        <w:rPr>
          <w:rFonts w:ascii="Calibri" w:hAnsi="Calibri" w:cs="Calibri"/>
        </w:rPr>
      </w:pPr>
    </w:p>
    <w:p w14:paraId="36454123" w14:textId="2056684E" w:rsidR="001A1D40" w:rsidRPr="00685D31" w:rsidRDefault="00146335" w:rsidP="00C36A30">
      <w:pPr>
        <w:pStyle w:val="Heading2"/>
        <w:rPr>
          <w:rFonts w:ascii="Calibri" w:hAnsi="Calibri" w:cs="Calibri"/>
          <w:sz w:val="22"/>
          <w:szCs w:val="22"/>
        </w:rPr>
      </w:pPr>
      <w:bookmarkStart w:id="7" w:name="_Toc192686221"/>
      <w:r>
        <w:rPr>
          <w:rFonts w:ascii="Calibri" w:hAnsi="Calibri" w:cs="Calibri"/>
          <w:sz w:val="22"/>
          <w:szCs w:val="22"/>
        </w:rPr>
        <w:t>3</w:t>
      </w:r>
      <w:r w:rsidR="00E3777E" w:rsidRPr="00685D31">
        <w:rPr>
          <w:rFonts w:ascii="Calibri" w:hAnsi="Calibri" w:cs="Calibri"/>
          <w:sz w:val="22"/>
          <w:szCs w:val="22"/>
        </w:rPr>
        <w:t xml:space="preserve">.2 </w:t>
      </w:r>
      <w:r w:rsidR="0078749D">
        <w:rPr>
          <w:rFonts w:ascii="Calibri" w:hAnsi="Calibri" w:cs="Calibri"/>
          <w:sz w:val="22"/>
          <w:szCs w:val="22"/>
        </w:rPr>
        <w:t xml:space="preserve">English </w:t>
      </w:r>
      <w:r w:rsidR="001A1D40" w:rsidRPr="00685D31">
        <w:rPr>
          <w:rFonts w:ascii="Calibri" w:hAnsi="Calibri" w:cs="Calibri"/>
          <w:sz w:val="22"/>
          <w:szCs w:val="22"/>
        </w:rPr>
        <w:t>Entry Requirements</w:t>
      </w:r>
      <w:bookmarkEnd w:id="7"/>
    </w:p>
    <w:p w14:paraId="04056F6F" w14:textId="4A18CAA7" w:rsidR="005C2C62" w:rsidRPr="00685D31" w:rsidRDefault="005C2C62" w:rsidP="006C5B40">
      <w:pPr>
        <w:spacing w:after="120"/>
        <w:contextualSpacing/>
        <w:rPr>
          <w:rFonts w:ascii="Calibri" w:hAnsi="Calibri" w:cs="Calibri"/>
        </w:rPr>
      </w:pPr>
      <w:r w:rsidRPr="00685D31">
        <w:rPr>
          <w:rFonts w:ascii="Calibri" w:hAnsi="Calibri" w:cs="Calibri"/>
        </w:rPr>
        <w:t>P</w:t>
      </w:r>
      <w:r w:rsidR="00840D7A" w:rsidRPr="00685D31">
        <w:rPr>
          <w:rFonts w:ascii="Calibri" w:hAnsi="Calibri" w:cs="Calibri"/>
        </w:rPr>
        <w:t xml:space="preserve">rospective </w:t>
      </w:r>
      <w:r w:rsidR="000100B8">
        <w:rPr>
          <w:rFonts w:ascii="Calibri" w:hAnsi="Calibri" w:cs="Calibri"/>
        </w:rPr>
        <w:t xml:space="preserve">undergraduates who are </w:t>
      </w:r>
      <w:r w:rsidR="00840D7A" w:rsidRPr="00685D31">
        <w:rPr>
          <w:rFonts w:ascii="Calibri" w:hAnsi="Calibri" w:cs="Calibri"/>
        </w:rPr>
        <w:t xml:space="preserve">international learners must meet </w:t>
      </w:r>
      <w:r w:rsidR="000100B8">
        <w:rPr>
          <w:rFonts w:ascii="Calibri" w:hAnsi="Calibri" w:cs="Calibri"/>
        </w:rPr>
        <w:t xml:space="preserve">both </w:t>
      </w:r>
      <w:r w:rsidRPr="00685D31">
        <w:rPr>
          <w:rFonts w:ascii="Calibri" w:hAnsi="Calibri" w:cs="Calibri"/>
        </w:rPr>
        <w:t xml:space="preserve">the general entry </w:t>
      </w:r>
      <w:r w:rsidR="00840D7A" w:rsidRPr="00685D31">
        <w:rPr>
          <w:rFonts w:ascii="Calibri" w:hAnsi="Calibri" w:cs="Calibri"/>
        </w:rPr>
        <w:t xml:space="preserve">requirements </w:t>
      </w:r>
      <w:r w:rsidRPr="00685D31">
        <w:rPr>
          <w:rFonts w:ascii="Calibri" w:hAnsi="Calibri" w:cs="Calibri"/>
        </w:rPr>
        <w:t xml:space="preserve">and an entry requirement for </w:t>
      </w:r>
      <w:r w:rsidR="00840D7A" w:rsidRPr="00685D31">
        <w:rPr>
          <w:rFonts w:ascii="Calibri" w:hAnsi="Calibri" w:cs="Calibri"/>
        </w:rPr>
        <w:t xml:space="preserve">English language proficiency </w:t>
      </w:r>
      <w:r w:rsidR="00166060">
        <w:rPr>
          <w:rFonts w:ascii="Calibri" w:hAnsi="Calibri" w:cs="Calibri"/>
        </w:rPr>
        <w:t>to</w:t>
      </w:r>
      <w:r w:rsidRPr="00685D31">
        <w:rPr>
          <w:rFonts w:ascii="Calibri" w:hAnsi="Calibri" w:cs="Calibri"/>
        </w:rPr>
        <w:t xml:space="preserve"> be admitted to a GBS programme. The English language entry requirement helps </w:t>
      </w:r>
      <w:r w:rsidR="00840D7A" w:rsidRPr="00685D31">
        <w:rPr>
          <w:rFonts w:ascii="Calibri" w:hAnsi="Calibri" w:cs="Calibri"/>
        </w:rPr>
        <w:t>to ensure learners can engage effectively with academic content and activities during their chosen programme of study</w:t>
      </w:r>
      <w:r w:rsidR="006C5B40" w:rsidRPr="00685D31">
        <w:rPr>
          <w:rFonts w:ascii="Calibri" w:hAnsi="Calibri" w:cs="Calibri"/>
        </w:rPr>
        <w:t>.</w:t>
      </w:r>
      <w:r w:rsidRPr="00685D31">
        <w:rPr>
          <w:rFonts w:ascii="Calibri" w:hAnsi="Calibri" w:cs="Calibri"/>
        </w:rPr>
        <w:t xml:space="preserve"> </w:t>
      </w:r>
    </w:p>
    <w:p w14:paraId="4E6312B8" w14:textId="77777777" w:rsidR="005C2C62" w:rsidRPr="00685D31" w:rsidRDefault="005C2C62" w:rsidP="006C5B40">
      <w:pPr>
        <w:spacing w:after="120"/>
        <w:contextualSpacing/>
        <w:rPr>
          <w:rFonts w:ascii="Calibri" w:hAnsi="Calibri" w:cs="Calibri"/>
        </w:rPr>
      </w:pPr>
    </w:p>
    <w:p w14:paraId="5D1D3A94" w14:textId="2E8000C4" w:rsidR="001A1D40" w:rsidRPr="00166060" w:rsidRDefault="005C2C62" w:rsidP="00DA20FA">
      <w:pPr>
        <w:spacing w:after="120"/>
        <w:contextualSpacing/>
        <w:rPr>
          <w:rFonts w:ascii="Calibri" w:hAnsi="Calibri" w:cs="Calibri"/>
        </w:rPr>
      </w:pPr>
      <w:r w:rsidRPr="00685D31">
        <w:rPr>
          <w:rFonts w:ascii="Calibri" w:hAnsi="Calibri" w:cs="Calibri"/>
        </w:rPr>
        <w:t xml:space="preserve">Applicants whose first language is not English must provide evidence of competence in English Language </w:t>
      </w:r>
      <w:r w:rsidRPr="00166060">
        <w:rPr>
          <w:rFonts w:ascii="Calibri" w:hAnsi="Calibri" w:cs="Calibri"/>
        </w:rPr>
        <w:t>of CEFR Level B2+,</w:t>
      </w:r>
      <w:r w:rsidRPr="00685D31">
        <w:rPr>
          <w:rFonts w:ascii="Calibri" w:hAnsi="Calibri" w:cs="Calibri"/>
        </w:rPr>
        <w:t xml:space="preserve"> verified </w:t>
      </w:r>
      <w:r w:rsidR="00166060">
        <w:rPr>
          <w:rFonts w:ascii="Calibri" w:hAnsi="Calibri" w:cs="Calibri"/>
        </w:rPr>
        <w:t xml:space="preserve">with </w:t>
      </w:r>
      <w:r w:rsidRPr="00685D31">
        <w:rPr>
          <w:rFonts w:ascii="Calibri" w:hAnsi="Calibri" w:cs="Calibri"/>
        </w:rPr>
        <w:t>the provision of certification. A</w:t>
      </w:r>
      <w:r w:rsidR="006C5B40" w:rsidRPr="00685D31">
        <w:rPr>
          <w:rFonts w:ascii="Calibri" w:hAnsi="Calibri" w:cs="Calibri"/>
        </w:rPr>
        <w:t xml:space="preserve">pplicants are notified of the English language </w:t>
      </w:r>
      <w:r w:rsidR="00166060">
        <w:rPr>
          <w:rFonts w:ascii="Calibri" w:hAnsi="Calibri" w:cs="Calibri"/>
        </w:rPr>
        <w:t>entry</w:t>
      </w:r>
      <w:r w:rsidR="006C5B40" w:rsidRPr="00685D31">
        <w:rPr>
          <w:rFonts w:ascii="Calibri" w:hAnsi="Calibri" w:cs="Calibri"/>
        </w:rPr>
        <w:t xml:space="preserve"> requirements through publication on the website and in conditional offer letters.</w:t>
      </w:r>
      <w:r w:rsidR="000100B8">
        <w:rPr>
          <w:rFonts w:ascii="Calibri" w:hAnsi="Calibri" w:cs="Calibri"/>
        </w:rPr>
        <w:t xml:space="preserve"> </w:t>
      </w:r>
      <w:r w:rsidR="001A1D40" w:rsidRPr="00166060">
        <w:rPr>
          <w:rFonts w:ascii="Calibri" w:hAnsi="Calibri" w:cs="Calibri"/>
        </w:rPr>
        <w:t xml:space="preserve">Where applicants' proficiency levels fall below the required </w:t>
      </w:r>
      <w:r w:rsidR="00E3777E" w:rsidRPr="00166060">
        <w:rPr>
          <w:rFonts w:ascii="Calibri" w:hAnsi="Calibri" w:cs="Calibri"/>
        </w:rPr>
        <w:t xml:space="preserve">CEFR </w:t>
      </w:r>
      <w:r w:rsidR="001A1D40" w:rsidRPr="00166060">
        <w:rPr>
          <w:rFonts w:ascii="Calibri" w:hAnsi="Calibri" w:cs="Calibri"/>
        </w:rPr>
        <w:t>standard, the institution will offer conditional admission, with the requirement to attain the necessary CEFR level before the commencement of academic study.</w:t>
      </w:r>
    </w:p>
    <w:p w14:paraId="54EBEF85" w14:textId="77777777" w:rsidR="005C2C62" w:rsidRPr="00685D31" w:rsidRDefault="005C2C62" w:rsidP="00DA20FA">
      <w:pPr>
        <w:spacing w:after="120"/>
        <w:contextualSpacing/>
        <w:rPr>
          <w:rFonts w:ascii="Calibri" w:hAnsi="Calibri" w:cs="Calibri"/>
          <w:color w:val="FF0000"/>
        </w:rPr>
      </w:pPr>
    </w:p>
    <w:p w14:paraId="0A3BAAFF" w14:textId="6DDAED33" w:rsidR="000100B8" w:rsidRPr="009530F6" w:rsidRDefault="005C2C62" w:rsidP="005C2C62">
      <w:pPr>
        <w:spacing w:after="120"/>
        <w:contextualSpacing/>
        <w:rPr>
          <w:rFonts w:ascii="Calibri" w:hAnsi="Calibri" w:cs="Calibri"/>
        </w:rPr>
      </w:pPr>
      <w:r w:rsidRPr="009530F6">
        <w:rPr>
          <w:rFonts w:ascii="Calibri" w:hAnsi="Calibri" w:cs="Calibri"/>
        </w:rPr>
        <w:t xml:space="preserve">Our </w:t>
      </w:r>
      <w:r w:rsidR="000100B8" w:rsidRPr="009530F6">
        <w:rPr>
          <w:rFonts w:ascii="Calibri" w:hAnsi="Calibri" w:cs="Calibri"/>
        </w:rPr>
        <w:t>range of English</w:t>
      </w:r>
      <w:r w:rsidRPr="009530F6">
        <w:rPr>
          <w:rFonts w:ascii="Calibri" w:hAnsi="Calibri" w:cs="Calibri"/>
        </w:rPr>
        <w:t xml:space="preserve"> Language programmes offer open access to language learners, meaning anyone can enrol, regardless of their background, provided they undergo an initial assessment to determine their starting level. For non-EEA entrants, the appropriate permissions to study in Ireland must also be in place. </w:t>
      </w:r>
    </w:p>
    <w:p w14:paraId="6F11276E" w14:textId="77777777" w:rsidR="00166060" w:rsidRPr="009530F6" w:rsidRDefault="00166060" w:rsidP="005C2C62">
      <w:pPr>
        <w:spacing w:after="120"/>
        <w:contextualSpacing/>
        <w:rPr>
          <w:rFonts w:ascii="Calibri" w:hAnsi="Calibri" w:cs="Calibri"/>
        </w:rPr>
      </w:pPr>
    </w:p>
    <w:p w14:paraId="73655CFB" w14:textId="77777777" w:rsidR="00AF79B3" w:rsidRPr="009530F6" w:rsidRDefault="005C2C62" w:rsidP="00166060">
      <w:pPr>
        <w:spacing w:after="120"/>
        <w:contextualSpacing/>
        <w:rPr>
          <w:rFonts w:ascii="Calibri" w:hAnsi="Calibri" w:cs="Calibri"/>
        </w:rPr>
      </w:pPr>
      <w:r w:rsidRPr="009530F6">
        <w:rPr>
          <w:rFonts w:ascii="Calibri" w:hAnsi="Calibri" w:cs="Calibri"/>
        </w:rPr>
        <w:t xml:space="preserve">As there are a range of English language programmes available at all CEFR levels there is no </w:t>
      </w:r>
      <w:r w:rsidR="000100B8" w:rsidRPr="009530F6">
        <w:rPr>
          <w:rFonts w:ascii="Calibri" w:hAnsi="Calibri" w:cs="Calibri"/>
        </w:rPr>
        <w:t xml:space="preserve">English </w:t>
      </w:r>
      <w:r w:rsidRPr="009530F6">
        <w:rPr>
          <w:rFonts w:ascii="Calibri" w:hAnsi="Calibri" w:cs="Calibri"/>
        </w:rPr>
        <w:t>entry requirement in terms of the CEFR</w:t>
      </w:r>
      <w:r w:rsidR="00432BC2" w:rsidRPr="009530F6">
        <w:rPr>
          <w:rFonts w:ascii="Calibri" w:hAnsi="Calibri" w:cs="Calibri"/>
        </w:rPr>
        <w:t>, though prior learning and international examination results are considered as part of the placement process.</w:t>
      </w:r>
      <w:r w:rsidR="00166060" w:rsidRPr="009530F6">
        <w:rPr>
          <w:rFonts w:ascii="Calibri" w:hAnsi="Calibri" w:cs="Calibri"/>
        </w:rPr>
        <w:t xml:space="preserve"> </w:t>
      </w:r>
    </w:p>
    <w:p w14:paraId="0F403B7A" w14:textId="77777777" w:rsidR="00AF79B3" w:rsidRPr="009530F6" w:rsidRDefault="00AF79B3" w:rsidP="00166060">
      <w:pPr>
        <w:spacing w:after="120"/>
        <w:contextualSpacing/>
        <w:rPr>
          <w:rFonts w:ascii="Calibri" w:hAnsi="Calibri" w:cs="Calibri"/>
        </w:rPr>
      </w:pPr>
    </w:p>
    <w:p w14:paraId="072CACAC" w14:textId="12ACEE57" w:rsidR="00306DE4" w:rsidRPr="009530F6" w:rsidRDefault="00306DE4" w:rsidP="00166060">
      <w:pPr>
        <w:spacing w:after="120"/>
        <w:contextualSpacing/>
        <w:rPr>
          <w:rFonts w:ascii="Calibri" w:hAnsi="Calibri" w:cs="Calibri"/>
        </w:rPr>
      </w:pPr>
      <w:r w:rsidRPr="009530F6">
        <w:rPr>
          <w:rFonts w:ascii="Calibri" w:hAnsi="Calibri" w:cs="Calibri"/>
        </w:rPr>
        <w:t xml:space="preserve">In line with ILEP requirements, all Study Abroad Programmes conclude with an international exam (e.g., Cambridge or IELTS) which formally verifies the learners’ language proficiency and supports language learner </w:t>
      </w:r>
      <w:r w:rsidR="00166060" w:rsidRPr="009530F6">
        <w:rPr>
          <w:rFonts w:ascii="Calibri" w:hAnsi="Calibri" w:cs="Calibri"/>
        </w:rPr>
        <w:t xml:space="preserve">access, transfer and progression, particularly for those </w:t>
      </w:r>
      <w:r w:rsidRPr="009530F6">
        <w:rPr>
          <w:rFonts w:ascii="Calibri" w:hAnsi="Calibri" w:cs="Calibri"/>
        </w:rPr>
        <w:t xml:space="preserve">who are keen to pursue future HE pathways, apply for future study, </w:t>
      </w:r>
      <w:r w:rsidR="00166060" w:rsidRPr="009530F6">
        <w:rPr>
          <w:rFonts w:ascii="Calibri" w:hAnsi="Calibri" w:cs="Calibri"/>
        </w:rPr>
        <w:t>apply to</w:t>
      </w:r>
      <w:r w:rsidRPr="009530F6">
        <w:rPr>
          <w:rFonts w:ascii="Calibri" w:hAnsi="Calibri" w:cs="Calibri"/>
        </w:rPr>
        <w:t xml:space="preserve"> Irish universities </w:t>
      </w:r>
      <w:r w:rsidR="00166060" w:rsidRPr="009530F6">
        <w:rPr>
          <w:rFonts w:ascii="Calibri" w:hAnsi="Calibri" w:cs="Calibri"/>
        </w:rPr>
        <w:t xml:space="preserve">which </w:t>
      </w:r>
      <w:r w:rsidRPr="009530F6">
        <w:rPr>
          <w:rFonts w:ascii="Calibri" w:hAnsi="Calibri" w:cs="Calibri"/>
        </w:rPr>
        <w:t>require proof of language proficiency for admission, visa applications, or advanced study.</w:t>
      </w:r>
    </w:p>
    <w:p w14:paraId="3FEC76F7" w14:textId="77777777" w:rsidR="005C2C62" w:rsidRPr="00685D31" w:rsidRDefault="005C2C62" w:rsidP="00DA20FA">
      <w:pPr>
        <w:spacing w:after="120"/>
        <w:contextualSpacing/>
        <w:rPr>
          <w:rFonts w:ascii="Calibri" w:hAnsi="Calibri" w:cs="Calibri"/>
          <w:color w:val="FF0000"/>
        </w:rPr>
      </w:pPr>
    </w:p>
    <w:p w14:paraId="455D333B" w14:textId="11BAB23D" w:rsidR="001A1D40" w:rsidRPr="00685D31" w:rsidRDefault="00146335" w:rsidP="00C36A30">
      <w:pPr>
        <w:pStyle w:val="Heading2"/>
        <w:rPr>
          <w:rFonts w:ascii="Calibri" w:hAnsi="Calibri" w:cs="Calibri"/>
          <w:sz w:val="22"/>
          <w:szCs w:val="22"/>
        </w:rPr>
      </w:pPr>
      <w:bookmarkStart w:id="8" w:name="_Toc192686222"/>
      <w:r>
        <w:rPr>
          <w:rFonts w:ascii="Calibri" w:hAnsi="Calibri" w:cs="Calibri"/>
          <w:sz w:val="22"/>
          <w:szCs w:val="22"/>
        </w:rPr>
        <w:lastRenderedPageBreak/>
        <w:t>3</w:t>
      </w:r>
      <w:r w:rsidR="00E3777E" w:rsidRPr="00685D31">
        <w:rPr>
          <w:rFonts w:ascii="Calibri" w:hAnsi="Calibri" w:cs="Calibri"/>
          <w:sz w:val="22"/>
          <w:szCs w:val="22"/>
        </w:rPr>
        <w:t xml:space="preserve">.3 </w:t>
      </w:r>
      <w:r w:rsidR="001A1D40" w:rsidRPr="00685D31">
        <w:rPr>
          <w:rFonts w:ascii="Calibri" w:hAnsi="Calibri" w:cs="Calibri"/>
          <w:sz w:val="22"/>
          <w:szCs w:val="22"/>
        </w:rPr>
        <w:t>English Support</w:t>
      </w:r>
      <w:r w:rsidR="00E3777E" w:rsidRPr="00685D31">
        <w:rPr>
          <w:rFonts w:ascii="Calibri" w:hAnsi="Calibri" w:cs="Calibri"/>
          <w:sz w:val="22"/>
          <w:szCs w:val="22"/>
        </w:rPr>
        <w:t>s</w:t>
      </w:r>
      <w:r w:rsidR="001A1D40" w:rsidRPr="00685D31">
        <w:rPr>
          <w:rFonts w:ascii="Calibri" w:hAnsi="Calibri" w:cs="Calibri"/>
          <w:sz w:val="22"/>
          <w:szCs w:val="22"/>
        </w:rPr>
        <w:t xml:space="preserve"> Prior to Commencement</w:t>
      </w:r>
      <w:bookmarkEnd w:id="8"/>
    </w:p>
    <w:p w14:paraId="238334C1" w14:textId="00AB2870" w:rsidR="001A1D40" w:rsidRPr="00685D31" w:rsidRDefault="001A1D40" w:rsidP="00DA20FA">
      <w:pPr>
        <w:spacing w:after="120"/>
        <w:contextualSpacing/>
        <w:rPr>
          <w:rFonts w:ascii="Calibri" w:hAnsi="Calibri" w:cs="Calibri"/>
        </w:rPr>
      </w:pPr>
      <w:r w:rsidRPr="00685D31">
        <w:rPr>
          <w:rFonts w:ascii="Calibri" w:hAnsi="Calibri" w:cs="Calibri"/>
        </w:rPr>
        <w:t xml:space="preserve">Recognising that </w:t>
      </w:r>
      <w:r w:rsidR="00517195">
        <w:rPr>
          <w:rFonts w:ascii="Calibri" w:hAnsi="Calibri" w:cs="Calibri"/>
        </w:rPr>
        <w:t xml:space="preserve">prospective undergraduates </w:t>
      </w:r>
      <w:r w:rsidRPr="00685D31">
        <w:rPr>
          <w:rFonts w:ascii="Calibri" w:hAnsi="Calibri" w:cs="Calibri"/>
        </w:rPr>
        <w:t xml:space="preserve">may </w:t>
      </w:r>
      <w:r w:rsidR="00E3777E" w:rsidRPr="00685D31">
        <w:rPr>
          <w:rFonts w:ascii="Calibri" w:hAnsi="Calibri" w:cs="Calibri"/>
        </w:rPr>
        <w:t>begin the application process</w:t>
      </w:r>
      <w:r w:rsidRPr="00685D31">
        <w:rPr>
          <w:rFonts w:ascii="Calibri" w:hAnsi="Calibri" w:cs="Calibri"/>
        </w:rPr>
        <w:t xml:space="preserve"> with varying levels of English proficiency, Galway Business School has developed a structured approach to </w:t>
      </w:r>
      <w:r w:rsidR="00FD3966">
        <w:rPr>
          <w:rFonts w:ascii="Calibri" w:hAnsi="Calibri" w:cs="Calibri"/>
        </w:rPr>
        <w:t>evaluate</w:t>
      </w:r>
      <w:r w:rsidRPr="00685D31">
        <w:rPr>
          <w:rFonts w:ascii="Calibri" w:hAnsi="Calibri" w:cs="Calibri"/>
        </w:rPr>
        <w:t xml:space="preserve"> and support English language development before the commencement of their programme</w:t>
      </w:r>
      <w:r w:rsidR="00517195">
        <w:rPr>
          <w:rFonts w:ascii="Calibri" w:hAnsi="Calibri" w:cs="Calibri"/>
        </w:rPr>
        <w:t>.</w:t>
      </w:r>
    </w:p>
    <w:p w14:paraId="2B934E25" w14:textId="77777777" w:rsidR="00FD3966" w:rsidRDefault="00FD3966" w:rsidP="00FD3966">
      <w:pPr>
        <w:spacing w:after="120"/>
        <w:contextualSpacing/>
        <w:rPr>
          <w:rFonts w:ascii="Calibri" w:hAnsi="Calibri" w:cs="Calibri"/>
          <w:color w:val="FF0000"/>
        </w:rPr>
      </w:pPr>
    </w:p>
    <w:p w14:paraId="6B18F9BA" w14:textId="1E3A739F" w:rsidR="00517195" w:rsidRDefault="00E3777E" w:rsidP="00FD3966">
      <w:pPr>
        <w:spacing w:after="120"/>
        <w:contextualSpacing/>
        <w:rPr>
          <w:rFonts w:ascii="Calibri" w:hAnsi="Calibri" w:cs="Calibri"/>
        </w:rPr>
      </w:pPr>
      <w:r w:rsidRPr="00FD3966">
        <w:rPr>
          <w:rFonts w:ascii="Calibri" w:hAnsi="Calibri" w:cs="Calibri"/>
        </w:rPr>
        <w:t xml:space="preserve">Galway Business School </w:t>
      </w:r>
      <w:r w:rsidR="00517195">
        <w:rPr>
          <w:rFonts w:ascii="Calibri" w:hAnsi="Calibri" w:cs="Calibri"/>
        </w:rPr>
        <w:t xml:space="preserve">has a pre-arrival online test which </w:t>
      </w:r>
      <w:r w:rsidR="00A669FB">
        <w:rPr>
          <w:rFonts w:ascii="Calibri" w:hAnsi="Calibri" w:cs="Calibri"/>
        </w:rPr>
        <w:t xml:space="preserve">is used at the initial enquiry stage and gives </w:t>
      </w:r>
      <w:r w:rsidR="00517195">
        <w:rPr>
          <w:rFonts w:ascii="Calibri" w:hAnsi="Calibri" w:cs="Calibri"/>
        </w:rPr>
        <w:t xml:space="preserve">prospective international learners </w:t>
      </w:r>
      <w:r w:rsidR="00A669FB">
        <w:rPr>
          <w:rFonts w:ascii="Calibri" w:hAnsi="Calibri" w:cs="Calibri"/>
        </w:rPr>
        <w:t xml:space="preserve">and the admissions team </w:t>
      </w:r>
      <w:r w:rsidR="00517195">
        <w:rPr>
          <w:rFonts w:ascii="Calibri" w:hAnsi="Calibri" w:cs="Calibri"/>
        </w:rPr>
        <w:t>an indication of their current CEFR level</w:t>
      </w:r>
      <w:r w:rsidR="00A669FB">
        <w:rPr>
          <w:rFonts w:ascii="Calibri" w:hAnsi="Calibri" w:cs="Calibri"/>
        </w:rPr>
        <w:t xml:space="preserve">. This online test is benchmarked and aligns with the CEFR.  The results </w:t>
      </w:r>
      <w:r w:rsidR="00517195">
        <w:rPr>
          <w:rFonts w:ascii="Calibri" w:hAnsi="Calibri" w:cs="Calibri"/>
        </w:rPr>
        <w:t xml:space="preserve">allow the admissions team to advise </w:t>
      </w:r>
      <w:r w:rsidR="00A669FB">
        <w:rPr>
          <w:rFonts w:ascii="Calibri" w:hAnsi="Calibri" w:cs="Calibri"/>
        </w:rPr>
        <w:t>how to meet</w:t>
      </w:r>
      <w:r w:rsidR="00517195">
        <w:rPr>
          <w:rFonts w:ascii="Calibri" w:hAnsi="Calibri" w:cs="Calibri"/>
        </w:rPr>
        <w:t xml:space="preserve"> the English entry requirements e.g. to take an international English exam or pursue a course of English study </w:t>
      </w:r>
      <w:r w:rsidR="00A669FB">
        <w:rPr>
          <w:rFonts w:ascii="Calibri" w:hAnsi="Calibri" w:cs="Calibri"/>
        </w:rPr>
        <w:t>prior to</w:t>
      </w:r>
      <w:r w:rsidR="00517195">
        <w:rPr>
          <w:rFonts w:ascii="Calibri" w:hAnsi="Calibri" w:cs="Calibri"/>
        </w:rPr>
        <w:t xml:space="preserve"> </w:t>
      </w:r>
      <w:r w:rsidR="00A669FB">
        <w:rPr>
          <w:rFonts w:ascii="Calibri" w:hAnsi="Calibri" w:cs="Calibri"/>
        </w:rPr>
        <w:t>progression to HE.</w:t>
      </w:r>
    </w:p>
    <w:p w14:paraId="57F57D05" w14:textId="77777777" w:rsidR="00517195" w:rsidRDefault="00517195" w:rsidP="00FD3966">
      <w:pPr>
        <w:spacing w:after="120"/>
        <w:contextualSpacing/>
        <w:rPr>
          <w:rFonts w:ascii="Calibri" w:hAnsi="Calibri" w:cs="Calibri"/>
        </w:rPr>
      </w:pPr>
    </w:p>
    <w:p w14:paraId="29BFAE97" w14:textId="258C0153" w:rsidR="00E3777E" w:rsidRPr="00FD3966" w:rsidRDefault="00A669FB" w:rsidP="00FD3966">
      <w:pPr>
        <w:spacing w:after="120"/>
        <w:contextualSpacing/>
        <w:rPr>
          <w:rFonts w:ascii="Calibri" w:hAnsi="Calibri" w:cs="Calibri"/>
        </w:rPr>
      </w:pPr>
      <w:r>
        <w:rPr>
          <w:rFonts w:ascii="Calibri" w:hAnsi="Calibri" w:cs="Calibri"/>
        </w:rPr>
        <w:t>F</w:t>
      </w:r>
      <w:r w:rsidRPr="00FD3966">
        <w:rPr>
          <w:rFonts w:ascii="Calibri" w:hAnsi="Calibri" w:cs="Calibri"/>
        </w:rPr>
        <w:t>or all international learners entering their first programme with</w:t>
      </w:r>
      <w:r>
        <w:rPr>
          <w:rFonts w:ascii="Calibri" w:hAnsi="Calibri" w:cs="Calibri"/>
        </w:rPr>
        <w:t xml:space="preserve"> </w:t>
      </w:r>
      <w:r w:rsidR="00517195" w:rsidRPr="00FD3966">
        <w:rPr>
          <w:rFonts w:ascii="Calibri" w:hAnsi="Calibri" w:cs="Calibri"/>
        </w:rPr>
        <w:t xml:space="preserve">Galway Business School </w:t>
      </w:r>
      <w:r>
        <w:rPr>
          <w:rFonts w:ascii="Calibri" w:hAnsi="Calibri" w:cs="Calibri"/>
        </w:rPr>
        <w:t xml:space="preserve">there is </w:t>
      </w:r>
      <w:r w:rsidR="00E3777E" w:rsidRPr="00FD3966">
        <w:rPr>
          <w:rFonts w:ascii="Calibri" w:hAnsi="Calibri" w:cs="Calibri"/>
        </w:rPr>
        <w:t xml:space="preserve">a Pre-Sessional </w:t>
      </w:r>
      <w:r>
        <w:rPr>
          <w:rFonts w:ascii="Calibri" w:hAnsi="Calibri" w:cs="Calibri"/>
        </w:rPr>
        <w:t xml:space="preserve">English </w:t>
      </w:r>
      <w:r w:rsidR="00E3777E" w:rsidRPr="00FD3966">
        <w:rPr>
          <w:rFonts w:ascii="Calibri" w:hAnsi="Calibri" w:cs="Calibri"/>
        </w:rPr>
        <w:t>Programme</w:t>
      </w:r>
      <w:r>
        <w:rPr>
          <w:rFonts w:ascii="Calibri" w:hAnsi="Calibri" w:cs="Calibri"/>
        </w:rPr>
        <w:t>,</w:t>
      </w:r>
      <w:r w:rsidR="00E3777E" w:rsidRPr="00FD3966">
        <w:rPr>
          <w:rFonts w:ascii="Calibri" w:hAnsi="Calibri" w:cs="Calibri"/>
        </w:rPr>
        <w:t xml:space="preserve"> </w:t>
      </w:r>
      <w:r>
        <w:rPr>
          <w:rFonts w:ascii="Calibri" w:hAnsi="Calibri" w:cs="Calibri"/>
        </w:rPr>
        <w:t>this</w:t>
      </w:r>
      <w:r w:rsidR="00E3777E" w:rsidRPr="00FD3966">
        <w:rPr>
          <w:rFonts w:ascii="Calibri" w:hAnsi="Calibri" w:cs="Calibri"/>
        </w:rPr>
        <w:t xml:space="preserve"> mandatory three</w:t>
      </w:r>
      <w:r>
        <w:rPr>
          <w:rFonts w:ascii="Calibri" w:hAnsi="Calibri" w:cs="Calibri"/>
        </w:rPr>
        <w:t>-</w:t>
      </w:r>
      <w:r w:rsidR="00E3777E" w:rsidRPr="00FD3966">
        <w:rPr>
          <w:rFonts w:ascii="Calibri" w:hAnsi="Calibri" w:cs="Calibri"/>
        </w:rPr>
        <w:t>week course in English for academic purposes</w:t>
      </w:r>
      <w:r>
        <w:rPr>
          <w:rFonts w:ascii="Calibri" w:hAnsi="Calibri" w:cs="Calibri"/>
        </w:rPr>
        <w:t xml:space="preserve"> has been specifically </w:t>
      </w:r>
      <w:r w:rsidR="00D5048B" w:rsidRPr="00D5048B">
        <w:rPr>
          <w:rFonts w:ascii="Calibri" w:hAnsi="Calibri" w:cs="Calibri"/>
        </w:rPr>
        <w:t xml:space="preserve">designed to support </w:t>
      </w:r>
      <w:r w:rsidR="00D5048B">
        <w:rPr>
          <w:rFonts w:ascii="Calibri" w:hAnsi="Calibri" w:cs="Calibri"/>
        </w:rPr>
        <w:t xml:space="preserve">CEFR B2+ </w:t>
      </w:r>
      <w:r w:rsidR="00D5048B" w:rsidRPr="00D5048B">
        <w:rPr>
          <w:rFonts w:ascii="Calibri" w:hAnsi="Calibri" w:cs="Calibri"/>
        </w:rPr>
        <w:t xml:space="preserve">international learners </w:t>
      </w:r>
      <w:r w:rsidR="00D5048B">
        <w:rPr>
          <w:rFonts w:ascii="Calibri" w:hAnsi="Calibri" w:cs="Calibri"/>
        </w:rPr>
        <w:t>to better meet</w:t>
      </w:r>
      <w:r w:rsidR="00D5048B" w:rsidRPr="00D5048B">
        <w:rPr>
          <w:rFonts w:ascii="Calibri" w:hAnsi="Calibri" w:cs="Calibri"/>
        </w:rPr>
        <w:t xml:space="preserve"> their academic goals</w:t>
      </w:r>
      <w:r>
        <w:rPr>
          <w:rFonts w:ascii="Calibri" w:hAnsi="Calibri" w:cs="Calibri"/>
        </w:rPr>
        <w:t xml:space="preserve">; gain academic </w:t>
      </w:r>
      <w:r w:rsidR="00D5048B">
        <w:rPr>
          <w:rFonts w:ascii="Calibri" w:hAnsi="Calibri" w:cs="Calibri"/>
        </w:rPr>
        <w:t xml:space="preserve">experience and </w:t>
      </w:r>
      <w:r>
        <w:rPr>
          <w:rFonts w:ascii="Calibri" w:hAnsi="Calibri" w:cs="Calibri"/>
        </w:rPr>
        <w:t xml:space="preserve">enjoy </w:t>
      </w:r>
      <w:r w:rsidR="00D5048B">
        <w:rPr>
          <w:rFonts w:ascii="Calibri" w:hAnsi="Calibri" w:cs="Calibri"/>
        </w:rPr>
        <w:t>opportunities</w:t>
      </w:r>
      <w:r w:rsidR="00A47F13">
        <w:rPr>
          <w:rFonts w:ascii="Calibri" w:hAnsi="Calibri" w:cs="Calibri"/>
        </w:rPr>
        <w:t xml:space="preserve"> to build relationships with their fellow undergraduates</w:t>
      </w:r>
      <w:r w:rsidR="00D5048B">
        <w:rPr>
          <w:rFonts w:ascii="Calibri" w:hAnsi="Calibri" w:cs="Calibri"/>
        </w:rPr>
        <w:t xml:space="preserve"> prior to commencement</w:t>
      </w:r>
      <w:r>
        <w:rPr>
          <w:rFonts w:ascii="Calibri" w:hAnsi="Calibri" w:cs="Calibri"/>
        </w:rPr>
        <w:t xml:space="preserve"> of their </w:t>
      </w:r>
      <w:r w:rsidR="00C050F9">
        <w:rPr>
          <w:rFonts w:ascii="Calibri" w:hAnsi="Calibri" w:cs="Calibri"/>
        </w:rPr>
        <w:t>programme</w:t>
      </w:r>
      <w:r>
        <w:rPr>
          <w:rFonts w:ascii="Calibri" w:hAnsi="Calibri" w:cs="Calibri"/>
        </w:rPr>
        <w:t xml:space="preserve"> at GBS.</w:t>
      </w:r>
      <w:r w:rsidR="00D5048B" w:rsidRPr="00D5048B">
        <w:rPr>
          <w:rFonts w:ascii="Calibri" w:hAnsi="Calibri" w:cs="Calibri"/>
        </w:rPr>
        <w:t xml:space="preserve">   </w:t>
      </w:r>
    </w:p>
    <w:p w14:paraId="329D6F70" w14:textId="77777777" w:rsidR="00A60D60" w:rsidRPr="00685D31" w:rsidRDefault="00A60D60" w:rsidP="00BD450E">
      <w:pPr>
        <w:spacing w:after="120"/>
        <w:ind w:left="720"/>
        <w:contextualSpacing/>
        <w:rPr>
          <w:rFonts w:ascii="Calibri" w:hAnsi="Calibri" w:cs="Calibri"/>
          <w:color w:val="FF0000"/>
        </w:rPr>
      </w:pPr>
    </w:p>
    <w:p w14:paraId="6E579F3E" w14:textId="423FB662" w:rsidR="001A1D40" w:rsidRDefault="00146335" w:rsidP="003B3A68">
      <w:pPr>
        <w:pStyle w:val="Heading2"/>
        <w:rPr>
          <w:rFonts w:ascii="Calibri" w:hAnsi="Calibri" w:cs="Calibri"/>
          <w:sz w:val="22"/>
          <w:szCs w:val="22"/>
        </w:rPr>
      </w:pPr>
      <w:bookmarkStart w:id="9" w:name="_Toc192686223"/>
      <w:r>
        <w:rPr>
          <w:rFonts w:ascii="Calibri" w:hAnsi="Calibri" w:cs="Calibri"/>
          <w:sz w:val="22"/>
          <w:szCs w:val="22"/>
        </w:rPr>
        <w:t>3</w:t>
      </w:r>
      <w:r w:rsidR="00BD450E" w:rsidRPr="00685D31">
        <w:rPr>
          <w:rFonts w:ascii="Calibri" w:hAnsi="Calibri" w:cs="Calibri"/>
          <w:sz w:val="22"/>
          <w:szCs w:val="22"/>
        </w:rPr>
        <w:t>.4</w:t>
      </w:r>
      <w:r w:rsidR="001A1D40" w:rsidRPr="00685D31">
        <w:rPr>
          <w:rFonts w:ascii="Calibri" w:hAnsi="Calibri" w:cs="Calibri"/>
          <w:sz w:val="22"/>
          <w:szCs w:val="22"/>
        </w:rPr>
        <w:t xml:space="preserve"> Development of English for Academic Purposes (EAP)</w:t>
      </w:r>
      <w:bookmarkEnd w:id="9"/>
    </w:p>
    <w:p w14:paraId="25E0718F" w14:textId="4F7FB0D2" w:rsidR="00BD450E" w:rsidRPr="00685D31" w:rsidRDefault="001A1D40" w:rsidP="00DA20FA">
      <w:pPr>
        <w:spacing w:after="120"/>
        <w:contextualSpacing/>
        <w:rPr>
          <w:rFonts w:ascii="Calibri" w:hAnsi="Calibri" w:cs="Calibri"/>
        </w:rPr>
      </w:pPr>
      <w:r w:rsidRPr="00685D31">
        <w:rPr>
          <w:rFonts w:ascii="Calibri" w:hAnsi="Calibri" w:cs="Calibri"/>
        </w:rPr>
        <w:t xml:space="preserve">Galway Business School acknowledges the importance of English for Academic Purposes (EAP) in ensuring that learners succeed in their studies. The development of academic English language skills is </w:t>
      </w:r>
      <w:r w:rsidR="001625B7">
        <w:rPr>
          <w:rFonts w:ascii="Calibri" w:hAnsi="Calibri" w:cs="Calibri"/>
        </w:rPr>
        <w:t xml:space="preserve">embedded throughout the </w:t>
      </w:r>
      <w:r w:rsidRPr="00685D31">
        <w:rPr>
          <w:rFonts w:ascii="Calibri" w:hAnsi="Calibri" w:cs="Calibri"/>
        </w:rPr>
        <w:t>learners’ academic journeys</w:t>
      </w:r>
      <w:r w:rsidR="001625B7">
        <w:rPr>
          <w:rFonts w:ascii="Calibri" w:hAnsi="Calibri" w:cs="Calibri"/>
        </w:rPr>
        <w:t xml:space="preserve"> including: </w:t>
      </w:r>
    </w:p>
    <w:p w14:paraId="2E714FB2" w14:textId="6EA1C53C" w:rsidR="00BD450E" w:rsidRPr="00FD3966" w:rsidRDefault="00C050F9" w:rsidP="00BD450E">
      <w:pPr>
        <w:pStyle w:val="ListParagraph"/>
        <w:numPr>
          <w:ilvl w:val="0"/>
          <w:numId w:val="4"/>
        </w:numPr>
        <w:rPr>
          <w:rFonts w:ascii="Calibri" w:hAnsi="Calibri" w:cs="Calibri"/>
        </w:rPr>
      </w:pPr>
      <w:r>
        <w:rPr>
          <w:rFonts w:ascii="Calibri" w:hAnsi="Calibri" w:cs="Calibri"/>
        </w:rPr>
        <w:t>The</w:t>
      </w:r>
      <w:r w:rsidR="00BD450E" w:rsidRPr="00FD3966">
        <w:rPr>
          <w:rFonts w:ascii="Calibri" w:hAnsi="Calibri" w:cs="Calibri"/>
        </w:rPr>
        <w:t xml:space="preserve"> undergraduate programme in Year 1 </w:t>
      </w:r>
      <w:r>
        <w:rPr>
          <w:rFonts w:ascii="Calibri" w:hAnsi="Calibri" w:cs="Calibri"/>
        </w:rPr>
        <w:t>has</w:t>
      </w:r>
      <w:r w:rsidR="00BD450E" w:rsidRPr="00FD3966">
        <w:rPr>
          <w:rFonts w:ascii="Calibri" w:hAnsi="Calibri" w:cs="Calibri"/>
        </w:rPr>
        <w:t xml:space="preserve"> a dedicated </w:t>
      </w:r>
      <w:r w:rsidR="006C5B40" w:rsidRPr="00FD3966">
        <w:rPr>
          <w:rFonts w:ascii="Calibri" w:hAnsi="Calibri" w:cs="Calibri"/>
        </w:rPr>
        <w:t xml:space="preserve">embedded and credit-bearing </w:t>
      </w:r>
      <w:r w:rsidR="00BD450E" w:rsidRPr="00FD3966">
        <w:rPr>
          <w:rFonts w:ascii="Calibri" w:hAnsi="Calibri" w:cs="Calibri"/>
        </w:rPr>
        <w:t xml:space="preserve">module ‘Learn to Learn’ which offers modules focusing on </w:t>
      </w:r>
      <w:r w:rsidR="00FC3A35">
        <w:rPr>
          <w:rFonts w:ascii="Calibri" w:hAnsi="Calibri" w:cs="Calibri"/>
        </w:rPr>
        <w:t xml:space="preserve">the development of </w:t>
      </w:r>
      <w:r w:rsidR="00BD450E" w:rsidRPr="00FD3966">
        <w:rPr>
          <w:rFonts w:ascii="Calibri" w:hAnsi="Calibri" w:cs="Calibri"/>
        </w:rPr>
        <w:t>academic writing, academic</w:t>
      </w:r>
      <w:r>
        <w:rPr>
          <w:rFonts w:ascii="Calibri" w:hAnsi="Calibri" w:cs="Calibri"/>
        </w:rPr>
        <w:t xml:space="preserve"> integrity</w:t>
      </w:r>
      <w:r w:rsidR="00FC3A35">
        <w:rPr>
          <w:rFonts w:ascii="Calibri" w:hAnsi="Calibri" w:cs="Calibri"/>
        </w:rPr>
        <w:t xml:space="preserve"> and </w:t>
      </w:r>
      <w:r w:rsidR="00BD450E" w:rsidRPr="00FD3966">
        <w:rPr>
          <w:rFonts w:ascii="Calibri" w:hAnsi="Calibri" w:cs="Calibri"/>
        </w:rPr>
        <w:t>research skills</w:t>
      </w:r>
      <w:r w:rsidR="001625B7">
        <w:rPr>
          <w:rFonts w:ascii="Calibri" w:hAnsi="Calibri" w:cs="Calibri"/>
        </w:rPr>
        <w:t>.</w:t>
      </w:r>
    </w:p>
    <w:p w14:paraId="4C0B23D9" w14:textId="4C2F64A1" w:rsidR="00BD450E" w:rsidRPr="00FD3966" w:rsidRDefault="00BD450E" w:rsidP="00BD450E">
      <w:pPr>
        <w:numPr>
          <w:ilvl w:val="0"/>
          <w:numId w:val="4"/>
        </w:numPr>
        <w:spacing w:after="120"/>
        <w:contextualSpacing/>
        <w:rPr>
          <w:rFonts w:ascii="Calibri" w:hAnsi="Calibri" w:cs="Calibri"/>
        </w:rPr>
      </w:pPr>
      <w:r w:rsidRPr="00FD3966">
        <w:rPr>
          <w:rFonts w:ascii="Calibri" w:hAnsi="Calibri" w:cs="Calibri"/>
        </w:rPr>
        <w:t xml:space="preserve">GBS also offers a range of English for Academic Purposes (EAP) courses throughout the year. These in-sessional </w:t>
      </w:r>
      <w:r w:rsidR="006C5B40" w:rsidRPr="00FD3966">
        <w:rPr>
          <w:rFonts w:ascii="Calibri" w:hAnsi="Calibri" w:cs="Calibri"/>
        </w:rPr>
        <w:t>course options</w:t>
      </w:r>
      <w:r w:rsidRPr="00FD3966">
        <w:rPr>
          <w:rFonts w:ascii="Calibri" w:hAnsi="Calibri" w:cs="Calibri"/>
        </w:rPr>
        <w:t xml:space="preserve"> are available to international learners who are attending the Study Abroad Programme</w:t>
      </w:r>
      <w:r w:rsidR="00AD2F01">
        <w:rPr>
          <w:rFonts w:ascii="Calibri" w:hAnsi="Calibri" w:cs="Calibri"/>
        </w:rPr>
        <w:t xml:space="preserve"> and may be interested in HE pathways.</w:t>
      </w:r>
    </w:p>
    <w:p w14:paraId="1EA0931D" w14:textId="77777777" w:rsidR="00FC3A35" w:rsidRDefault="00FC3A35" w:rsidP="00FC3A35">
      <w:pPr>
        <w:pStyle w:val="ListParagraph"/>
        <w:numPr>
          <w:ilvl w:val="0"/>
          <w:numId w:val="4"/>
        </w:numPr>
        <w:rPr>
          <w:rFonts w:ascii="Calibri" w:hAnsi="Calibri" w:cs="Calibri"/>
        </w:rPr>
      </w:pPr>
      <w:r>
        <w:rPr>
          <w:rFonts w:ascii="Calibri" w:hAnsi="Calibri" w:cs="Calibri"/>
        </w:rPr>
        <w:t>International l</w:t>
      </w:r>
      <w:r w:rsidRPr="00FD3966">
        <w:rPr>
          <w:rFonts w:ascii="Calibri" w:hAnsi="Calibri" w:cs="Calibri"/>
        </w:rPr>
        <w:t>earners can access a range of resources and links to further English language and academic supports on the</w:t>
      </w:r>
      <w:r>
        <w:rPr>
          <w:rFonts w:ascii="Calibri" w:hAnsi="Calibri" w:cs="Calibri"/>
        </w:rPr>
        <w:t>ir</w:t>
      </w:r>
      <w:r w:rsidRPr="00FD3966">
        <w:rPr>
          <w:rFonts w:ascii="Calibri" w:hAnsi="Calibri" w:cs="Calibri"/>
        </w:rPr>
        <w:t xml:space="preserve"> Moodle </w:t>
      </w:r>
      <w:r>
        <w:rPr>
          <w:rFonts w:ascii="Calibri" w:hAnsi="Calibri" w:cs="Calibri"/>
        </w:rPr>
        <w:t xml:space="preserve">course </w:t>
      </w:r>
      <w:r w:rsidRPr="00FD3966">
        <w:rPr>
          <w:rFonts w:ascii="Calibri" w:hAnsi="Calibri" w:cs="Calibri"/>
        </w:rPr>
        <w:t xml:space="preserve">pages </w:t>
      </w:r>
    </w:p>
    <w:p w14:paraId="3FA3949D" w14:textId="77777777" w:rsidR="00FC3A35" w:rsidRPr="00FD3966" w:rsidRDefault="00FC3A35" w:rsidP="00FC3A35">
      <w:pPr>
        <w:pStyle w:val="ListParagraph"/>
        <w:rPr>
          <w:rFonts w:ascii="Calibri" w:hAnsi="Calibri" w:cs="Calibri"/>
        </w:rPr>
      </w:pPr>
    </w:p>
    <w:p w14:paraId="626B20E9" w14:textId="6AA4557A" w:rsidR="00BD450E" w:rsidRDefault="00BD450E" w:rsidP="00BD450E">
      <w:pPr>
        <w:pStyle w:val="ListParagraph"/>
        <w:numPr>
          <w:ilvl w:val="0"/>
          <w:numId w:val="4"/>
        </w:numPr>
        <w:rPr>
          <w:rFonts w:ascii="Calibri" w:hAnsi="Calibri" w:cs="Calibri"/>
        </w:rPr>
      </w:pPr>
      <w:r w:rsidRPr="00FD3966">
        <w:rPr>
          <w:rFonts w:ascii="Calibri" w:hAnsi="Calibri" w:cs="Calibri"/>
        </w:rPr>
        <w:t xml:space="preserve">In-sessional support </w:t>
      </w:r>
      <w:r w:rsidR="00AD2F01">
        <w:rPr>
          <w:rFonts w:ascii="Calibri" w:hAnsi="Calibri" w:cs="Calibri"/>
        </w:rPr>
        <w:t>continues</w:t>
      </w:r>
      <w:r w:rsidRPr="00FD3966">
        <w:rPr>
          <w:rFonts w:ascii="Calibri" w:hAnsi="Calibri" w:cs="Calibri"/>
        </w:rPr>
        <w:t xml:space="preserve"> throughout the learners' studies, including writing workshops, </w:t>
      </w:r>
      <w:r w:rsidR="00AD2F01">
        <w:rPr>
          <w:rFonts w:ascii="Calibri" w:hAnsi="Calibri" w:cs="Calibri"/>
        </w:rPr>
        <w:t xml:space="preserve">additional </w:t>
      </w:r>
      <w:r w:rsidRPr="00FD3966">
        <w:rPr>
          <w:rFonts w:ascii="Calibri" w:hAnsi="Calibri" w:cs="Calibri"/>
        </w:rPr>
        <w:t xml:space="preserve">language </w:t>
      </w:r>
      <w:r w:rsidR="00AD2F01">
        <w:rPr>
          <w:rFonts w:ascii="Calibri" w:hAnsi="Calibri" w:cs="Calibri"/>
        </w:rPr>
        <w:t>support</w:t>
      </w:r>
      <w:r w:rsidRPr="00FD3966">
        <w:rPr>
          <w:rFonts w:ascii="Calibri" w:hAnsi="Calibri" w:cs="Calibri"/>
        </w:rPr>
        <w:t>, and additional resources to aid in the development of English proficiency in the context of academic work.</w:t>
      </w:r>
    </w:p>
    <w:p w14:paraId="7AF3B306" w14:textId="77777777" w:rsidR="00FC3A35" w:rsidRDefault="00FC3A35" w:rsidP="00FC3A35">
      <w:pPr>
        <w:pStyle w:val="ListParagraph"/>
        <w:rPr>
          <w:rFonts w:ascii="Calibri" w:hAnsi="Calibri" w:cs="Calibri"/>
        </w:rPr>
      </w:pPr>
    </w:p>
    <w:p w14:paraId="14198D8A" w14:textId="55800464" w:rsidR="003B3A68" w:rsidRDefault="003B3A68" w:rsidP="00BD450E">
      <w:pPr>
        <w:pStyle w:val="ListParagraph"/>
        <w:numPr>
          <w:ilvl w:val="0"/>
          <w:numId w:val="4"/>
        </w:numPr>
        <w:rPr>
          <w:rFonts w:ascii="Calibri" w:hAnsi="Calibri" w:cs="Calibri"/>
        </w:rPr>
      </w:pPr>
      <w:r w:rsidRPr="00FD3966">
        <w:rPr>
          <w:rFonts w:ascii="Calibri" w:hAnsi="Calibri" w:cs="Calibri"/>
        </w:rPr>
        <w:t xml:space="preserve">Inter-cultural training </w:t>
      </w:r>
      <w:r w:rsidR="00AD2F01">
        <w:rPr>
          <w:rFonts w:ascii="Calibri" w:hAnsi="Calibri" w:cs="Calibri"/>
        </w:rPr>
        <w:t xml:space="preserve">and social </w:t>
      </w:r>
      <w:r w:rsidRPr="00FD3966">
        <w:rPr>
          <w:rFonts w:ascii="Calibri" w:hAnsi="Calibri" w:cs="Calibri"/>
        </w:rPr>
        <w:t>events for new international students are also supported by the Social Activity Programme as an ongoing compliment to the</w:t>
      </w:r>
      <w:r w:rsidR="00AD2F01">
        <w:rPr>
          <w:rFonts w:ascii="Calibri" w:hAnsi="Calibri" w:cs="Calibri"/>
        </w:rPr>
        <w:t xml:space="preserve"> initial l</w:t>
      </w:r>
      <w:r w:rsidRPr="00FD3966">
        <w:rPr>
          <w:rFonts w:ascii="Calibri" w:hAnsi="Calibri" w:cs="Calibri"/>
        </w:rPr>
        <w:t xml:space="preserve">earner </w:t>
      </w:r>
      <w:r w:rsidR="00AD2F01">
        <w:rPr>
          <w:rFonts w:ascii="Calibri" w:hAnsi="Calibri" w:cs="Calibri"/>
        </w:rPr>
        <w:t>i</w:t>
      </w:r>
      <w:r w:rsidRPr="00FD3966">
        <w:rPr>
          <w:rFonts w:ascii="Calibri" w:hAnsi="Calibri" w:cs="Calibri"/>
        </w:rPr>
        <w:t>nduction.</w:t>
      </w:r>
    </w:p>
    <w:p w14:paraId="02F3FD99" w14:textId="77777777" w:rsidR="00FC3A35" w:rsidRPr="00FC3A35" w:rsidRDefault="00FC3A35" w:rsidP="00FC3A35">
      <w:pPr>
        <w:pStyle w:val="ListParagraph"/>
        <w:rPr>
          <w:rFonts w:ascii="Calibri" w:hAnsi="Calibri" w:cs="Calibri"/>
        </w:rPr>
      </w:pPr>
    </w:p>
    <w:p w14:paraId="79431C0B" w14:textId="06EAD2F1" w:rsidR="003B3A68" w:rsidRPr="00685D31" w:rsidRDefault="00146335" w:rsidP="003B3A68">
      <w:pPr>
        <w:pStyle w:val="Heading2"/>
        <w:rPr>
          <w:rFonts w:ascii="Calibri" w:hAnsi="Calibri" w:cs="Calibri"/>
          <w:sz w:val="22"/>
          <w:szCs w:val="22"/>
        </w:rPr>
      </w:pPr>
      <w:bookmarkStart w:id="10" w:name="_Toc192686224"/>
      <w:r>
        <w:rPr>
          <w:rFonts w:ascii="Calibri" w:hAnsi="Calibri" w:cs="Calibri"/>
          <w:sz w:val="22"/>
          <w:szCs w:val="22"/>
        </w:rPr>
        <w:t>3</w:t>
      </w:r>
      <w:r w:rsidR="003B3A68" w:rsidRPr="00685D31">
        <w:rPr>
          <w:rFonts w:ascii="Calibri" w:hAnsi="Calibri" w:cs="Calibri"/>
          <w:sz w:val="22"/>
          <w:szCs w:val="22"/>
        </w:rPr>
        <w:t>.5 Quality Assurance and Continuous Improvement</w:t>
      </w:r>
      <w:bookmarkEnd w:id="10"/>
      <w:r w:rsidR="006B6948">
        <w:rPr>
          <w:rFonts w:ascii="Calibri" w:hAnsi="Calibri" w:cs="Calibri"/>
          <w:sz w:val="22"/>
          <w:szCs w:val="22"/>
        </w:rPr>
        <w:t xml:space="preserve"> </w:t>
      </w:r>
    </w:p>
    <w:p w14:paraId="128EBB9A" w14:textId="37A33293" w:rsidR="00D62BC4" w:rsidRPr="00685D31" w:rsidRDefault="00F34AB4" w:rsidP="00D62BC4">
      <w:pPr>
        <w:rPr>
          <w:rFonts w:ascii="Calibri" w:hAnsi="Calibri" w:cs="Calibri"/>
        </w:rPr>
      </w:pPr>
      <w:r w:rsidRPr="00685D31">
        <w:rPr>
          <w:rFonts w:ascii="Calibri" w:hAnsi="Calibri" w:cs="Calibri"/>
        </w:rPr>
        <w:t>The GBS QA Manual specifically, the ‘Governance &amp; Management of Quality Policy’ outlines the governance and committee structure, procedures for academic governance, individual roles and responsibilities as well as departmental responsibilities.</w:t>
      </w:r>
    </w:p>
    <w:p w14:paraId="1E97D4AC" w14:textId="624CCEB7" w:rsidR="003B3A68" w:rsidRPr="00685D31" w:rsidRDefault="006C5B40" w:rsidP="003B3A68">
      <w:pPr>
        <w:spacing w:after="120"/>
        <w:contextualSpacing/>
        <w:rPr>
          <w:rFonts w:ascii="Calibri" w:hAnsi="Calibri" w:cs="Calibri"/>
        </w:rPr>
      </w:pPr>
      <w:r w:rsidRPr="00685D31">
        <w:rPr>
          <w:rFonts w:ascii="Calibri" w:hAnsi="Calibri" w:cs="Calibri"/>
        </w:rPr>
        <w:t>T</w:t>
      </w:r>
      <w:r w:rsidR="003B3A68" w:rsidRPr="00685D31">
        <w:rPr>
          <w:rFonts w:ascii="Calibri" w:hAnsi="Calibri" w:cs="Calibri"/>
        </w:rPr>
        <w:t>h</w:t>
      </w:r>
      <w:r w:rsidR="00E73C6B">
        <w:rPr>
          <w:rFonts w:ascii="Calibri" w:hAnsi="Calibri" w:cs="Calibri"/>
        </w:rPr>
        <w:t>is</w:t>
      </w:r>
      <w:r w:rsidR="003B3A68" w:rsidRPr="00685D31">
        <w:rPr>
          <w:rFonts w:ascii="Calibri" w:hAnsi="Calibri" w:cs="Calibri"/>
        </w:rPr>
        <w:t xml:space="preserve"> English Language Policy will be regularly reviewed to ensure its ongoing effectiveness and alignment with institutional goals. The institution will:</w:t>
      </w:r>
    </w:p>
    <w:p w14:paraId="41C69BEF" w14:textId="3636A4CD" w:rsidR="003B3A68" w:rsidRPr="00685D31" w:rsidRDefault="006C5B40" w:rsidP="003B3A68">
      <w:pPr>
        <w:numPr>
          <w:ilvl w:val="0"/>
          <w:numId w:val="10"/>
        </w:numPr>
        <w:spacing w:after="120"/>
        <w:contextualSpacing/>
        <w:rPr>
          <w:rFonts w:ascii="Calibri" w:hAnsi="Calibri" w:cs="Calibri"/>
        </w:rPr>
      </w:pPr>
      <w:r w:rsidRPr="00685D31">
        <w:rPr>
          <w:rFonts w:ascii="Calibri" w:hAnsi="Calibri" w:cs="Calibri"/>
        </w:rPr>
        <w:t xml:space="preserve">Gather </w:t>
      </w:r>
      <w:r w:rsidR="003B3A68" w:rsidRPr="00685D31">
        <w:rPr>
          <w:rFonts w:ascii="Calibri" w:hAnsi="Calibri" w:cs="Calibri"/>
        </w:rPr>
        <w:t>feedback from learners, staff, and external stakeholders regarding the quality of language support services and the effectiveness of the English language proficiency standards.</w:t>
      </w:r>
    </w:p>
    <w:p w14:paraId="7B58E44E" w14:textId="77777777" w:rsidR="003B3A68" w:rsidRPr="00685D31" w:rsidRDefault="003B3A68" w:rsidP="003B3A68">
      <w:pPr>
        <w:numPr>
          <w:ilvl w:val="0"/>
          <w:numId w:val="10"/>
        </w:numPr>
        <w:spacing w:after="120"/>
        <w:contextualSpacing/>
        <w:rPr>
          <w:rFonts w:ascii="Calibri" w:hAnsi="Calibri" w:cs="Calibri"/>
        </w:rPr>
      </w:pPr>
      <w:r w:rsidRPr="00685D31">
        <w:rPr>
          <w:rFonts w:ascii="Calibri" w:hAnsi="Calibri" w:cs="Calibri"/>
        </w:rPr>
        <w:t>Use academic performance data to assess the effectiveness of language support measures and make any necessary adjustments to ensure continuous improvement.</w:t>
      </w:r>
    </w:p>
    <w:p w14:paraId="1C3B854A" w14:textId="77777777" w:rsidR="003B3A68" w:rsidRPr="00685D31" w:rsidRDefault="003B3A68" w:rsidP="003B3A68">
      <w:pPr>
        <w:numPr>
          <w:ilvl w:val="0"/>
          <w:numId w:val="10"/>
        </w:numPr>
        <w:spacing w:after="120"/>
        <w:contextualSpacing/>
        <w:rPr>
          <w:rFonts w:ascii="Calibri" w:hAnsi="Calibri" w:cs="Calibri"/>
        </w:rPr>
      </w:pPr>
      <w:r w:rsidRPr="00685D31">
        <w:rPr>
          <w:rFonts w:ascii="Calibri" w:hAnsi="Calibri" w:cs="Calibri"/>
        </w:rPr>
        <w:t>Ensure that the policy is updated to reflect best practices in language development, the needs of the learner population, and any changes to national or international standards in higher education.</w:t>
      </w:r>
    </w:p>
    <w:p w14:paraId="281E9A51" w14:textId="7C1462AB" w:rsidR="003B3A68" w:rsidRPr="00685D31" w:rsidRDefault="00685D31" w:rsidP="003B3A68">
      <w:pPr>
        <w:pStyle w:val="Heading1"/>
        <w:rPr>
          <w:rFonts w:ascii="Calibri" w:hAnsi="Calibri" w:cs="Calibri"/>
          <w:sz w:val="22"/>
          <w:szCs w:val="22"/>
        </w:rPr>
      </w:pPr>
      <w:bookmarkStart w:id="11" w:name="_Toc192686225"/>
      <w:r>
        <w:rPr>
          <w:rFonts w:ascii="Calibri" w:hAnsi="Calibri" w:cs="Calibri"/>
          <w:sz w:val="22"/>
          <w:szCs w:val="22"/>
        </w:rPr>
        <w:t xml:space="preserve">4. </w:t>
      </w:r>
      <w:r w:rsidR="00481CFC" w:rsidRPr="00685D31">
        <w:rPr>
          <w:rFonts w:ascii="Calibri" w:hAnsi="Calibri" w:cs="Calibri"/>
          <w:sz w:val="22"/>
          <w:szCs w:val="22"/>
        </w:rPr>
        <w:t>Related Documents</w:t>
      </w:r>
      <w:bookmarkEnd w:id="11"/>
      <w:r w:rsidR="00D5048B">
        <w:rPr>
          <w:rFonts w:ascii="Calibri" w:hAnsi="Calibri" w:cs="Calibri"/>
          <w:sz w:val="22"/>
          <w:szCs w:val="22"/>
        </w:rPr>
        <w:t xml:space="preserve"> &amp; Policies</w:t>
      </w:r>
    </w:p>
    <w:p w14:paraId="5442DE68" w14:textId="2AEA4A22" w:rsidR="00481CFC" w:rsidRPr="00685D31" w:rsidRDefault="00481CFC" w:rsidP="00481CFC">
      <w:pPr>
        <w:pStyle w:val="ListParagraph"/>
        <w:numPr>
          <w:ilvl w:val="0"/>
          <w:numId w:val="16"/>
        </w:numPr>
        <w:spacing w:after="120"/>
        <w:rPr>
          <w:rFonts w:ascii="Calibri" w:hAnsi="Calibri" w:cs="Calibri"/>
        </w:rPr>
      </w:pPr>
      <w:r w:rsidRPr="00685D31">
        <w:rPr>
          <w:rFonts w:ascii="Calibri" w:hAnsi="Calibri" w:cs="Calibri"/>
        </w:rPr>
        <w:t>GBS Quality Assurance Manual</w:t>
      </w:r>
    </w:p>
    <w:p w14:paraId="6EBE4D6E" w14:textId="77777777" w:rsidR="00481CFC" w:rsidRPr="00685D31" w:rsidRDefault="00481CFC" w:rsidP="00481CFC">
      <w:pPr>
        <w:pStyle w:val="ListParagraph"/>
        <w:numPr>
          <w:ilvl w:val="0"/>
          <w:numId w:val="16"/>
        </w:numPr>
        <w:spacing w:after="120"/>
        <w:rPr>
          <w:rFonts w:ascii="Calibri" w:hAnsi="Calibri" w:cs="Calibri"/>
        </w:rPr>
      </w:pPr>
      <w:r w:rsidRPr="00685D31">
        <w:rPr>
          <w:rFonts w:ascii="Calibri" w:hAnsi="Calibri" w:cs="Calibri"/>
        </w:rPr>
        <w:t>QQI Code of Practice for the Provision of Programmes of Higher Education to International Learners (QQI 2023)</w:t>
      </w:r>
    </w:p>
    <w:p w14:paraId="15AD7A1D" w14:textId="77777777" w:rsidR="00481CFC" w:rsidRPr="00685D31" w:rsidRDefault="00481CFC" w:rsidP="00481CFC">
      <w:pPr>
        <w:pStyle w:val="ListParagraph"/>
        <w:numPr>
          <w:ilvl w:val="0"/>
          <w:numId w:val="16"/>
        </w:numPr>
        <w:spacing w:after="120"/>
        <w:rPr>
          <w:rFonts w:ascii="Calibri" w:hAnsi="Calibri" w:cs="Calibri"/>
        </w:rPr>
      </w:pPr>
      <w:r w:rsidRPr="00685D31">
        <w:rPr>
          <w:rFonts w:ascii="Calibri" w:hAnsi="Calibri" w:cs="Calibri"/>
        </w:rPr>
        <w:t>Policy on Authorisation to Use the International Education Mark (QQI 2023)</w:t>
      </w:r>
    </w:p>
    <w:p w14:paraId="0E4C2A8B" w14:textId="3B325578" w:rsidR="00481CFC" w:rsidRDefault="00481CFC" w:rsidP="00481CFC">
      <w:pPr>
        <w:pStyle w:val="ListParagraph"/>
        <w:numPr>
          <w:ilvl w:val="0"/>
          <w:numId w:val="16"/>
        </w:numPr>
        <w:spacing w:after="120"/>
        <w:rPr>
          <w:rFonts w:ascii="Calibri" w:hAnsi="Calibri" w:cs="Calibri"/>
        </w:rPr>
      </w:pPr>
      <w:r w:rsidRPr="00685D31">
        <w:rPr>
          <w:rFonts w:ascii="Calibri" w:hAnsi="Calibri" w:cs="Calibri"/>
        </w:rPr>
        <w:t>Entry requirements criteria for EU/EFTA/UK Applicants (other than Irish Leaving Certificate)</w:t>
      </w:r>
    </w:p>
    <w:p w14:paraId="72F79456" w14:textId="77777777" w:rsidR="00685D31" w:rsidRDefault="00685D31" w:rsidP="00685D31">
      <w:pPr>
        <w:spacing w:after="120"/>
        <w:rPr>
          <w:rFonts w:ascii="Calibri" w:hAnsi="Calibri" w:cs="Calibri"/>
        </w:rPr>
      </w:pPr>
    </w:p>
    <w:sectPr w:rsidR="00685D3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4CEC7D" w14:textId="77777777" w:rsidR="007843F7" w:rsidRDefault="007843F7" w:rsidP="007843F7">
      <w:pPr>
        <w:spacing w:after="0" w:line="240" w:lineRule="auto"/>
      </w:pPr>
      <w:r>
        <w:separator/>
      </w:r>
    </w:p>
  </w:endnote>
  <w:endnote w:type="continuationSeparator" w:id="0">
    <w:p w14:paraId="46A9FCAA" w14:textId="77777777" w:rsidR="007843F7" w:rsidRDefault="007843F7" w:rsidP="007843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37C289" w14:textId="77777777" w:rsidR="007843F7" w:rsidRDefault="007843F7" w:rsidP="007843F7">
      <w:pPr>
        <w:spacing w:after="0" w:line="240" w:lineRule="auto"/>
      </w:pPr>
      <w:r>
        <w:separator/>
      </w:r>
    </w:p>
  </w:footnote>
  <w:footnote w:type="continuationSeparator" w:id="0">
    <w:p w14:paraId="1CB0E94D" w14:textId="77777777" w:rsidR="007843F7" w:rsidRDefault="007843F7" w:rsidP="007843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A242B"/>
    <w:multiLevelType w:val="hybridMultilevel"/>
    <w:tmpl w:val="87AE959A"/>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64007DA"/>
    <w:multiLevelType w:val="multilevel"/>
    <w:tmpl w:val="DC4AA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BD3C9E"/>
    <w:multiLevelType w:val="hybridMultilevel"/>
    <w:tmpl w:val="AD66B596"/>
    <w:lvl w:ilvl="0" w:tplc="18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380" w:hanging="360"/>
      </w:pPr>
      <w:rPr>
        <w:rFonts w:ascii="Courier New" w:hAnsi="Courier New" w:cs="Courier New" w:hint="default"/>
      </w:rPr>
    </w:lvl>
    <w:lvl w:ilvl="2" w:tplc="FFFFFFFF" w:tentative="1">
      <w:start w:val="1"/>
      <w:numFmt w:val="bullet"/>
      <w:lvlText w:val=""/>
      <w:lvlJc w:val="left"/>
      <w:pPr>
        <w:ind w:left="2100" w:hanging="360"/>
      </w:pPr>
      <w:rPr>
        <w:rFonts w:ascii="Wingdings" w:hAnsi="Wingdings" w:hint="default"/>
      </w:rPr>
    </w:lvl>
    <w:lvl w:ilvl="3" w:tplc="FFFFFFFF" w:tentative="1">
      <w:start w:val="1"/>
      <w:numFmt w:val="bullet"/>
      <w:lvlText w:val=""/>
      <w:lvlJc w:val="left"/>
      <w:pPr>
        <w:ind w:left="2820" w:hanging="360"/>
      </w:pPr>
      <w:rPr>
        <w:rFonts w:ascii="Symbol" w:hAnsi="Symbol" w:hint="default"/>
      </w:rPr>
    </w:lvl>
    <w:lvl w:ilvl="4" w:tplc="FFFFFFFF" w:tentative="1">
      <w:start w:val="1"/>
      <w:numFmt w:val="bullet"/>
      <w:lvlText w:val="o"/>
      <w:lvlJc w:val="left"/>
      <w:pPr>
        <w:ind w:left="3540" w:hanging="360"/>
      </w:pPr>
      <w:rPr>
        <w:rFonts w:ascii="Courier New" w:hAnsi="Courier New" w:cs="Courier New" w:hint="default"/>
      </w:rPr>
    </w:lvl>
    <w:lvl w:ilvl="5" w:tplc="FFFFFFFF" w:tentative="1">
      <w:start w:val="1"/>
      <w:numFmt w:val="bullet"/>
      <w:lvlText w:val=""/>
      <w:lvlJc w:val="left"/>
      <w:pPr>
        <w:ind w:left="4260" w:hanging="360"/>
      </w:pPr>
      <w:rPr>
        <w:rFonts w:ascii="Wingdings" w:hAnsi="Wingdings" w:hint="default"/>
      </w:rPr>
    </w:lvl>
    <w:lvl w:ilvl="6" w:tplc="FFFFFFFF" w:tentative="1">
      <w:start w:val="1"/>
      <w:numFmt w:val="bullet"/>
      <w:lvlText w:val=""/>
      <w:lvlJc w:val="left"/>
      <w:pPr>
        <w:ind w:left="4980" w:hanging="360"/>
      </w:pPr>
      <w:rPr>
        <w:rFonts w:ascii="Symbol" w:hAnsi="Symbol" w:hint="default"/>
      </w:rPr>
    </w:lvl>
    <w:lvl w:ilvl="7" w:tplc="FFFFFFFF" w:tentative="1">
      <w:start w:val="1"/>
      <w:numFmt w:val="bullet"/>
      <w:lvlText w:val="o"/>
      <w:lvlJc w:val="left"/>
      <w:pPr>
        <w:ind w:left="5700" w:hanging="360"/>
      </w:pPr>
      <w:rPr>
        <w:rFonts w:ascii="Courier New" w:hAnsi="Courier New" w:cs="Courier New" w:hint="default"/>
      </w:rPr>
    </w:lvl>
    <w:lvl w:ilvl="8" w:tplc="FFFFFFFF" w:tentative="1">
      <w:start w:val="1"/>
      <w:numFmt w:val="bullet"/>
      <w:lvlText w:val=""/>
      <w:lvlJc w:val="left"/>
      <w:pPr>
        <w:ind w:left="6420" w:hanging="360"/>
      </w:pPr>
      <w:rPr>
        <w:rFonts w:ascii="Wingdings" w:hAnsi="Wingdings" w:hint="default"/>
      </w:rPr>
    </w:lvl>
  </w:abstractNum>
  <w:abstractNum w:abstractNumId="3" w15:restartNumberingAfterBreak="0">
    <w:nsid w:val="214B5F73"/>
    <w:multiLevelType w:val="hybridMultilevel"/>
    <w:tmpl w:val="2716F276"/>
    <w:lvl w:ilvl="0" w:tplc="C3180C52">
      <w:start w:val="2"/>
      <w:numFmt w:val="bullet"/>
      <w:lvlText w:val="-"/>
      <w:lvlJc w:val="left"/>
      <w:pPr>
        <w:ind w:left="360" w:hanging="360"/>
      </w:pPr>
      <w:rPr>
        <w:rFonts w:ascii="Calibri" w:eastAsiaTheme="minorEastAsia" w:hAnsi="Calibri" w:cs="Calibri" w:hint="default"/>
      </w:rPr>
    </w:lvl>
    <w:lvl w:ilvl="1" w:tplc="18090003" w:tentative="1">
      <w:start w:val="1"/>
      <w:numFmt w:val="bullet"/>
      <w:lvlText w:val="o"/>
      <w:lvlJc w:val="left"/>
      <w:pPr>
        <w:ind w:left="1380" w:hanging="360"/>
      </w:pPr>
      <w:rPr>
        <w:rFonts w:ascii="Courier New" w:hAnsi="Courier New" w:cs="Courier New" w:hint="default"/>
      </w:rPr>
    </w:lvl>
    <w:lvl w:ilvl="2" w:tplc="18090005" w:tentative="1">
      <w:start w:val="1"/>
      <w:numFmt w:val="bullet"/>
      <w:lvlText w:val=""/>
      <w:lvlJc w:val="left"/>
      <w:pPr>
        <w:ind w:left="2100" w:hanging="360"/>
      </w:pPr>
      <w:rPr>
        <w:rFonts w:ascii="Wingdings" w:hAnsi="Wingdings" w:hint="default"/>
      </w:rPr>
    </w:lvl>
    <w:lvl w:ilvl="3" w:tplc="18090001" w:tentative="1">
      <w:start w:val="1"/>
      <w:numFmt w:val="bullet"/>
      <w:lvlText w:val=""/>
      <w:lvlJc w:val="left"/>
      <w:pPr>
        <w:ind w:left="2820" w:hanging="360"/>
      </w:pPr>
      <w:rPr>
        <w:rFonts w:ascii="Symbol" w:hAnsi="Symbol" w:hint="default"/>
      </w:rPr>
    </w:lvl>
    <w:lvl w:ilvl="4" w:tplc="18090003" w:tentative="1">
      <w:start w:val="1"/>
      <w:numFmt w:val="bullet"/>
      <w:lvlText w:val="o"/>
      <w:lvlJc w:val="left"/>
      <w:pPr>
        <w:ind w:left="3540" w:hanging="360"/>
      </w:pPr>
      <w:rPr>
        <w:rFonts w:ascii="Courier New" w:hAnsi="Courier New" w:cs="Courier New" w:hint="default"/>
      </w:rPr>
    </w:lvl>
    <w:lvl w:ilvl="5" w:tplc="18090005" w:tentative="1">
      <w:start w:val="1"/>
      <w:numFmt w:val="bullet"/>
      <w:lvlText w:val=""/>
      <w:lvlJc w:val="left"/>
      <w:pPr>
        <w:ind w:left="4260" w:hanging="360"/>
      </w:pPr>
      <w:rPr>
        <w:rFonts w:ascii="Wingdings" w:hAnsi="Wingdings" w:hint="default"/>
      </w:rPr>
    </w:lvl>
    <w:lvl w:ilvl="6" w:tplc="18090001" w:tentative="1">
      <w:start w:val="1"/>
      <w:numFmt w:val="bullet"/>
      <w:lvlText w:val=""/>
      <w:lvlJc w:val="left"/>
      <w:pPr>
        <w:ind w:left="4980" w:hanging="360"/>
      </w:pPr>
      <w:rPr>
        <w:rFonts w:ascii="Symbol" w:hAnsi="Symbol" w:hint="default"/>
      </w:rPr>
    </w:lvl>
    <w:lvl w:ilvl="7" w:tplc="18090003" w:tentative="1">
      <w:start w:val="1"/>
      <w:numFmt w:val="bullet"/>
      <w:lvlText w:val="o"/>
      <w:lvlJc w:val="left"/>
      <w:pPr>
        <w:ind w:left="5700" w:hanging="360"/>
      </w:pPr>
      <w:rPr>
        <w:rFonts w:ascii="Courier New" w:hAnsi="Courier New" w:cs="Courier New" w:hint="default"/>
      </w:rPr>
    </w:lvl>
    <w:lvl w:ilvl="8" w:tplc="18090005" w:tentative="1">
      <w:start w:val="1"/>
      <w:numFmt w:val="bullet"/>
      <w:lvlText w:val=""/>
      <w:lvlJc w:val="left"/>
      <w:pPr>
        <w:ind w:left="6420" w:hanging="360"/>
      </w:pPr>
      <w:rPr>
        <w:rFonts w:ascii="Wingdings" w:hAnsi="Wingdings" w:hint="default"/>
      </w:rPr>
    </w:lvl>
  </w:abstractNum>
  <w:abstractNum w:abstractNumId="4" w15:restartNumberingAfterBreak="0">
    <w:nsid w:val="21561E66"/>
    <w:multiLevelType w:val="multilevel"/>
    <w:tmpl w:val="A7806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387130"/>
    <w:multiLevelType w:val="hybridMultilevel"/>
    <w:tmpl w:val="2C24ECFE"/>
    <w:lvl w:ilvl="0" w:tplc="1809000F">
      <w:start w:val="1"/>
      <w:numFmt w:val="decimal"/>
      <w:lvlText w:val="%1."/>
      <w:lvlJc w:val="left"/>
      <w:pPr>
        <w:ind w:left="928" w:hanging="360"/>
      </w:pPr>
      <w:rPr>
        <w:rFonts w:hint="default"/>
      </w:rPr>
    </w:lvl>
    <w:lvl w:ilvl="1" w:tplc="18090019" w:tentative="1">
      <w:start w:val="1"/>
      <w:numFmt w:val="lowerLetter"/>
      <w:lvlText w:val="%2."/>
      <w:lvlJc w:val="left"/>
      <w:pPr>
        <w:ind w:left="1648" w:hanging="360"/>
      </w:pPr>
    </w:lvl>
    <w:lvl w:ilvl="2" w:tplc="1809001B" w:tentative="1">
      <w:start w:val="1"/>
      <w:numFmt w:val="lowerRoman"/>
      <w:lvlText w:val="%3."/>
      <w:lvlJc w:val="right"/>
      <w:pPr>
        <w:ind w:left="2368" w:hanging="180"/>
      </w:pPr>
    </w:lvl>
    <w:lvl w:ilvl="3" w:tplc="1809000F" w:tentative="1">
      <w:start w:val="1"/>
      <w:numFmt w:val="decimal"/>
      <w:lvlText w:val="%4."/>
      <w:lvlJc w:val="left"/>
      <w:pPr>
        <w:ind w:left="3088" w:hanging="360"/>
      </w:pPr>
    </w:lvl>
    <w:lvl w:ilvl="4" w:tplc="18090019" w:tentative="1">
      <w:start w:val="1"/>
      <w:numFmt w:val="lowerLetter"/>
      <w:lvlText w:val="%5."/>
      <w:lvlJc w:val="left"/>
      <w:pPr>
        <w:ind w:left="3808" w:hanging="360"/>
      </w:pPr>
    </w:lvl>
    <w:lvl w:ilvl="5" w:tplc="1809001B" w:tentative="1">
      <w:start w:val="1"/>
      <w:numFmt w:val="lowerRoman"/>
      <w:lvlText w:val="%6."/>
      <w:lvlJc w:val="right"/>
      <w:pPr>
        <w:ind w:left="4528" w:hanging="180"/>
      </w:pPr>
    </w:lvl>
    <w:lvl w:ilvl="6" w:tplc="1809000F" w:tentative="1">
      <w:start w:val="1"/>
      <w:numFmt w:val="decimal"/>
      <w:lvlText w:val="%7."/>
      <w:lvlJc w:val="left"/>
      <w:pPr>
        <w:ind w:left="5248" w:hanging="360"/>
      </w:pPr>
    </w:lvl>
    <w:lvl w:ilvl="7" w:tplc="18090019" w:tentative="1">
      <w:start w:val="1"/>
      <w:numFmt w:val="lowerLetter"/>
      <w:lvlText w:val="%8."/>
      <w:lvlJc w:val="left"/>
      <w:pPr>
        <w:ind w:left="5968" w:hanging="360"/>
      </w:pPr>
    </w:lvl>
    <w:lvl w:ilvl="8" w:tplc="1809001B" w:tentative="1">
      <w:start w:val="1"/>
      <w:numFmt w:val="lowerRoman"/>
      <w:lvlText w:val="%9."/>
      <w:lvlJc w:val="right"/>
      <w:pPr>
        <w:ind w:left="6688" w:hanging="180"/>
      </w:pPr>
    </w:lvl>
  </w:abstractNum>
  <w:abstractNum w:abstractNumId="6" w15:restartNumberingAfterBreak="0">
    <w:nsid w:val="3328502D"/>
    <w:multiLevelType w:val="hybridMultilevel"/>
    <w:tmpl w:val="47C0E9C0"/>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33AD36F5"/>
    <w:multiLevelType w:val="hybridMultilevel"/>
    <w:tmpl w:val="47862F10"/>
    <w:lvl w:ilvl="0" w:tplc="C3180C52">
      <w:start w:val="2"/>
      <w:numFmt w:val="bullet"/>
      <w:lvlText w:val="-"/>
      <w:lvlJc w:val="left"/>
      <w:pPr>
        <w:ind w:left="780" w:hanging="360"/>
      </w:pPr>
      <w:rPr>
        <w:rFonts w:ascii="Calibri" w:eastAsiaTheme="minorEastAsia" w:hAnsi="Calibri" w:cs="Calibri"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8" w15:restartNumberingAfterBreak="0">
    <w:nsid w:val="35BF1A47"/>
    <w:multiLevelType w:val="hybridMultilevel"/>
    <w:tmpl w:val="2EC0C3A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3FCA74DB"/>
    <w:multiLevelType w:val="hybridMultilevel"/>
    <w:tmpl w:val="BAC8073E"/>
    <w:lvl w:ilvl="0" w:tplc="C3180C52">
      <w:start w:val="2"/>
      <w:numFmt w:val="bullet"/>
      <w:lvlText w:val="-"/>
      <w:lvlJc w:val="left"/>
      <w:pPr>
        <w:ind w:left="420" w:hanging="360"/>
      </w:pPr>
      <w:rPr>
        <w:rFonts w:ascii="Calibri" w:eastAsiaTheme="minorEastAsia"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40495F2E"/>
    <w:multiLevelType w:val="multilevel"/>
    <w:tmpl w:val="4DA63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11C1C7E"/>
    <w:multiLevelType w:val="hybridMultilevel"/>
    <w:tmpl w:val="8DC0A25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49812DD0"/>
    <w:multiLevelType w:val="multilevel"/>
    <w:tmpl w:val="75D02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EFB434D"/>
    <w:multiLevelType w:val="hybridMultilevel"/>
    <w:tmpl w:val="2DB03C80"/>
    <w:lvl w:ilvl="0" w:tplc="C3180C52">
      <w:start w:val="2"/>
      <w:numFmt w:val="bullet"/>
      <w:lvlText w:val="-"/>
      <w:lvlJc w:val="left"/>
      <w:pPr>
        <w:ind w:left="420" w:hanging="360"/>
      </w:pPr>
      <w:rPr>
        <w:rFonts w:ascii="Calibri" w:eastAsiaTheme="minorEastAsia"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56012DEB"/>
    <w:multiLevelType w:val="hybridMultilevel"/>
    <w:tmpl w:val="CCF0BBF4"/>
    <w:lvl w:ilvl="0" w:tplc="C3180C52">
      <w:start w:val="2"/>
      <w:numFmt w:val="bullet"/>
      <w:lvlText w:val="-"/>
      <w:lvlJc w:val="left"/>
      <w:pPr>
        <w:ind w:left="470" w:hanging="360"/>
      </w:pPr>
      <w:rPr>
        <w:rFonts w:ascii="Calibri" w:eastAsiaTheme="minorEastAsia" w:hAnsi="Calibri" w:cs="Calibri" w:hint="default"/>
      </w:rPr>
    </w:lvl>
    <w:lvl w:ilvl="1" w:tplc="1F74F5CE">
      <w:start w:val="1"/>
      <w:numFmt w:val="bullet"/>
      <w:lvlText w:val="•"/>
      <w:lvlJc w:val="left"/>
      <w:pPr>
        <w:ind w:left="1850" w:hanging="720"/>
      </w:pPr>
      <w:rPr>
        <w:rFonts w:ascii="Calibri" w:eastAsiaTheme="minorEastAsia" w:hAnsi="Calibri" w:cs="Calibri" w:hint="default"/>
      </w:rPr>
    </w:lvl>
    <w:lvl w:ilvl="2" w:tplc="18090005" w:tentative="1">
      <w:start w:val="1"/>
      <w:numFmt w:val="bullet"/>
      <w:lvlText w:val=""/>
      <w:lvlJc w:val="left"/>
      <w:pPr>
        <w:ind w:left="2210" w:hanging="360"/>
      </w:pPr>
      <w:rPr>
        <w:rFonts w:ascii="Wingdings" w:hAnsi="Wingdings" w:hint="default"/>
      </w:rPr>
    </w:lvl>
    <w:lvl w:ilvl="3" w:tplc="18090001" w:tentative="1">
      <w:start w:val="1"/>
      <w:numFmt w:val="bullet"/>
      <w:lvlText w:val=""/>
      <w:lvlJc w:val="left"/>
      <w:pPr>
        <w:ind w:left="2930" w:hanging="360"/>
      </w:pPr>
      <w:rPr>
        <w:rFonts w:ascii="Symbol" w:hAnsi="Symbol" w:hint="default"/>
      </w:rPr>
    </w:lvl>
    <w:lvl w:ilvl="4" w:tplc="18090003" w:tentative="1">
      <w:start w:val="1"/>
      <w:numFmt w:val="bullet"/>
      <w:lvlText w:val="o"/>
      <w:lvlJc w:val="left"/>
      <w:pPr>
        <w:ind w:left="3650" w:hanging="360"/>
      </w:pPr>
      <w:rPr>
        <w:rFonts w:ascii="Courier New" w:hAnsi="Courier New" w:cs="Courier New" w:hint="default"/>
      </w:rPr>
    </w:lvl>
    <w:lvl w:ilvl="5" w:tplc="18090005" w:tentative="1">
      <w:start w:val="1"/>
      <w:numFmt w:val="bullet"/>
      <w:lvlText w:val=""/>
      <w:lvlJc w:val="left"/>
      <w:pPr>
        <w:ind w:left="4370" w:hanging="360"/>
      </w:pPr>
      <w:rPr>
        <w:rFonts w:ascii="Wingdings" w:hAnsi="Wingdings" w:hint="default"/>
      </w:rPr>
    </w:lvl>
    <w:lvl w:ilvl="6" w:tplc="18090001" w:tentative="1">
      <w:start w:val="1"/>
      <w:numFmt w:val="bullet"/>
      <w:lvlText w:val=""/>
      <w:lvlJc w:val="left"/>
      <w:pPr>
        <w:ind w:left="5090" w:hanging="360"/>
      </w:pPr>
      <w:rPr>
        <w:rFonts w:ascii="Symbol" w:hAnsi="Symbol" w:hint="default"/>
      </w:rPr>
    </w:lvl>
    <w:lvl w:ilvl="7" w:tplc="18090003" w:tentative="1">
      <w:start w:val="1"/>
      <w:numFmt w:val="bullet"/>
      <w:lvlText w:val="o"/>
      <w:lvlJc w:val="left"/>
      <w:pPr>
        <w:ind w:left="5810" w:hanging="360"/>
      </w:pPr>
      <w:rPr>
        <w:rFonts w:ascii="Courier New" w:hAnsi="Courier New" w:cs="Courier New" w:hint="default"/>
      </w:rPr>
    </w:lvl>
    <w:lvl w:ilvl="8" w:tplc="18090005" w:tentative="1">
      <w:start w:val="1"/>
      <w:numFmt w:val="bullet"/>
      <w:lvlText w:val=""/>
      <w:lvlJc w:val="left"/>
      <w:pPr>
        <w:ind w:left="6530" w:hanging="360"/>
      </w:pPr>
      <w:rPr>
        <w:rFonts w:ascii="Wingdings" w:hAnsi="Wingdings" w:hint="default"/>
      </w:rPr>
    </w:lvl>
  </w:abstractNum>
  <w:abstractNum w:abstractNumId="15" w15:restartNumberingAfterBreak="0">
    <w:nsid w:val="57121FCD"/>
    <w:multiLevelType w:val="hybridMultilevel"/>
    <w:tmpl w:val="070EE092"/>
    <w:lvl w:ilvl="0" w:tplc="C3180C52">
      <w:start w:val="2"/>
      <w:numFmt w:val="bullet"/>
      <w:lvlText w:val="-"/>
      <w:lvlJc w:val="left"/>
      <w:pPr>
        <w:ind w:left="420" w:hanging="360"/>
      </w:pPr>
      <w:rPr>
        <w:rFonts w:ascii="Calibri" w:eastAsiaTheme="minorEastAsia" w:hAnsi="Calibri" w:cs="Calibri" w:hint="default"/>
      </w:rPr>
    </w:lvl>
    <w:lvl w:ilvl="1" w:tplc="18090003" w:tentative="1">
      <w:start w:val="1"/>
      <w:numFmt w:val="bullet"/>
      <w:lvlText w:val="o"/>
      <w:lvlJc w:val="left"/>
      <w:pPr>
        <w:ind w:left="1140" w:hanging="360"/>
      </w:pPr>
      <w:rPr>
        <w:rFonts w:ascii="Courier New" w:hAnsi="Courier New" w:cs="Courier New" w:hint="default"/>
      </w:rPr>
    </w:lvl>
    <w:lvl w:ilvl="2" w:tplc="18090005" w:tentative="1">
      <w:start w:val="1"/>
      <w:numFmt w:val="bullet"/>
      <w:lvlText w:val=""/>
      <w:lvlJc w:val="left"/>
      <w:pPr>
        <w:ind w:left="1860" w:hanging="360"/>
      </w:pPr>
      <w:rPr>
        <w:rFonts w:ascii="Wingdings" w:hAnsi="Wingdings" w:hint="default"/>
      </w:rPr>
    </w:lvl>
    <w:lvl w:ilvl="3" w:tplc="18090001" w:tentative="1">
      <w:start w:val="1"/>
      <w:numFmt w:val="bullet"/>
      <w:lvlText w:val=""/>
      <w:lvlJc w:val="left"/>
      <w:pPr>
        <w:ind w:left="2580" w:hanging="360"/>
      </w:pPr>
      <w:rPr>
        <w:rFonts w:ascii="Symbol" w:hAnsi="Symbol" w:hint="default"/>
      </w:rPr>
    </w:lvl>
    <w:lvl w:ilvl="4" w:tplc="18090003" w:tentative="1">
      <w:start w:val="1"/>
      <w:numFmt w:val="bullet"/>
      <w:lvlText w:val="o"/>
      <w:lvlJc w:val="left"/>
      <w:pPr>
        <w:ind w:left="3300" w:hanging="360"/>
      </w:pPr>
      <w:rPr>
        <w:rFonts w:ascii="Courier New" w:hAnsi="Courier New" w:cs="Courier New" w:hint="default"/>
      </w:rPr>
    </w:lvl>
    <w:lvl w:ilvl="5" w:tplc="18090005" w:tentative="1">
      <w:start w:val="1"/>
      <w:numFmt w:val="bullet"/>
      <w:lvlText w:val=""/>
      <w:lvlJc w:val="left"/>
      <w:pPr>
        <w:ind w:left="4020" w:hanging="360"/>
      </w:pPr>
      <w:rPr>
        <w:rFonts w:ascii="Wingdings" w:hAnsi="Wingdings" w:hint="default"/>
      </w:rPr>
    </w:lvl>
    <w:lvl w:ilvl="6" w:tplc="18090001" w:tentative="1">
      <w:start w:val="1"/>
      <w:numFmt w:val="bullet"/>
      <w:lvlText w:val=""/>
      <w:lvlJc w:val="left"/>
      <w:pPr>
        <w:ind w:left="4740" w:hanging="360"/>
      </w:pPr>
      <w:rPr>
        <w:rFonts w:ascii="Symbol" w:hAnsi="Symbol" w:hint="default"/>
      </w:rPr>
    </w:lvl>
    <w:lvl w:ilvl="7" w:tplc="18090003" w:tentative="1">
      <w:start w:val="1"/>
      <w:numFmt w:val="bullet"/>
      <w:lvlText w:val="o"/>
      <w:lvlJc w:val="left"/>
      <w:pPr>
        <w:ind w:left="5460" w:hanging="360"/>
      </w:pPr>
      <w:rPr>
        <w:rFonts w:ascii="Courier New" w:hAnsi="Courier New" w:cs="Courier New" w:hint="default"/>
      </w:rPr>
    </w:lvl>
    <w:lvl w:ilvl="8" w:tplc="18090005" w:tentative="1">
      <w:start w:val="1"/>
      <w:numFmt w:val="bullet"/>
      <w:lvlText w:val=""/>
      <w:lvlJc w:val="left"/>
      <w:pPr>
        <w:ind w:left="6180" w:hanging="360"/>
      </w:pPr>
      <w:rPr>
        <w:rFonts w:ascii="Wingdings" w:hAnsi="Wingdings" w:hint="default"/>
      </w:rPr>
    </w:lvl>
  </w:abstractNum>
  <w:abstractNum w:abstractNumId="16" w15:restartNumberingAfterBreak="0">
    <w:nsid w:val="5A216025"/>
    <w:multiLevelType w:val="multilevel"/>
    <w:tmpl w:val="88E8D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2F46AD2"/>
    <w:multiLevelType w:val="multilevel"/>
    <w:tmpl w:val="6C521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8361C67"/>
    <w:multiLevelType w:val="multilevel"/>
    <w:tmpl w:val="874CE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9CB64F4"/>
    <w:multiLevelType w:val="multilevel"/>
    <w:tmpl w:val="6596A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DCA330B"/>
    <w:multiLevelType w:val="hybridMultilevel"/>
    <w:tmpl w:val="DB2CD590"/>
    <w:lvl w:ilvl="0" w:tplc="18090001">
      <w:start w:val="1"/>
      <w:numFmt w:val="bullet"/>
      <w:lvlText w:val=""/>
      <w:lvlJc w:val="left"/>
      <w:pPr>
        <w:ind w:left="770" w:hanging="360"/>
      </w:pPr>
      <w:rPr>
        <w:rFonts w:ascii="Symbol" w:hAnsi="Symbol" w:hint="default"/>
      </w:rPr>
    </w:lvl>
    <w:lvl w:ilvl="1" w:tplc="18090003" w:tentative="1">
      <w:start w:val="1"/>
      <w:numFmt w:val="bullet"/>
      <w:lvlText w:val="o"/>
      <w:lvlJc w:val="left"/>
      <w:pPr>
        <w:ind w:left="1490" w:hanging="360"/>
      </w:pPr>
      <w:rPr>
        <w:rFonts w:ascii="Courier New" w:hAnsi="Courier New" w:cs="Courier New" w:hint="default"/>
      </w:rPr>
    </w:lvl>
    <w:lvl w:ilvl="2" w:tplc="18090005" w:tentative="1">
      <w:start w:val="1"/>
      <w:numFmt w:val="bullet"/>
      <w:lvlText w:val=""/>
      <w:lvlJc w:val="left"/>
      <w:pPr>
        <w:ind w:left="2210" w:hanging="360"/>
      </w:pPr>
      <w:rPr>
        <w:rFonts w:ascii="Wingdings" w:hAnsi="Wingdings" w:hint="default"/>
      </w:rPr>
    </w:lvl>
    <w:lvl w:ilvl="3" w:tplc="18090001" w:tentative="1">
      <w:start w:val="1"/>
      <w:numFmt w:val="bullet"/>
      <w:lvlText w:val=""/>
      <w:lvlJc w:val="left"/>
      <w:pPr>
        <w:ind w:left="2930" w:hanging="360"/>
      </w:pPr>
      <w:rPr>
        <w:rFonts w:ascii="Symbol" w:hAnsi="Symbol" w:hint="default"/>
      </w:rPr>
    </w:lvl>
    <w:lvl w:ilvl="4" w:tplc="18090003" w:tentative="1">
      <w:start w:val="1"/>
      <w:numFmt w:val="bullet"/>
      <w:lvlText w:val="o"/>
      <w:lvlJc w:val="left"/>
      <w:pPr>
        <w:ind w:left="3650" w:hanging="360"/>
      </w:pPr>
      <w:rPr>
        <w:rFonts w:ascii="Courier New" w:hAnsi="Courier New" w:cs="Courier New" w:hint="default"/>
      </w:rPr>
    </w:lvl>
    <w:lvl w:ilvl="5" w:tplc="18090005" w:tentative="1">
      <w:start w:val="1"/>
      <w:numFmt w:val="bullet"/>
      <w:lvlText w:val=""/>
      <w:lvlJc w:val="left"/>
      <w:pPr>
        <w:ind w:left="4370" w:hanging="360"/>
      </w:pPr>
      <w:rPr>
        <w:rFonts w:ascii="Wingdings" w:hAnsi="Wingdings" w:hint="default"/>
      </w:rPr>
    </w:lvl>
    <w:lvl w:ilvl="6" w:tplc="18090001" w:tentative="1">
      <w:start w:val="1"/>
      <w:numFmt w:val="bullet"/>
      <w:lvlText w:val=""/>
      <w:lvlJc w:val="left"/>
      <w:pPr>
        <w:ind w:left="5090" w:hanging="360"/>
      </w:pPr>
      <w:rPr>
        <w:rFonts w:ascii="Symbol" w:hAnsi="Symbol" w:hint="default"/>
      </w:rPr>
    </w:lvl>
    <w:lvl w:ilvl="7" w:tplc="18090003" w:tentative="1">
      <w:start w:val="1"/>
      <w:numFmt w:val="bullet"/>
      <w:lvlText w:val="o"/>
      <w:lvlJc w:val="left"/>
      <w:pPr>
        <w:ind w:left="5810" w:hanging="360"/>
      </w:pPr>
      <w:rPr>
        <w:rFonts w:ascii="Courier New" w:hAnsi="Courier New" w:cs="Courier New" w:hint="default"/>
      </w:rPr>
    </w:lvl>
    <w:lvl w:ilvl="8" w:tplc="18090005" w:tentative="1">
      <w:start w:val="1"/>
      <w:numFmt w:val="bullet"/>
      <w:lvlText w:val=""/>
      <w:lvlJc w:val="left"/>
      <w:pPr>
        <w:ind w:left="6530" w:hanging="360"/>
      </w:pPr>
      <w:rPr>
        <w:rFonts w:ascii="Wingdings" w:hAnsi="Wingdings" w:hint="default"/>
      </w:rPr>
    </w:lvl>
  </w:abstractNum>
  <w:abstractNum w:abstractNumId="21" w15:restartNumberingAfterBreak="0">
    <w:nsid w:val="76DD5B8E"/>
    <w:multiLevelType w:val="hybridMultilevel"/>
    <w:tmpl w:val="212878F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78F10A4C"/>
    <w:multiLevelType w:val="multilevel"/>
    <w:tmpl w:val="66A66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1921222">
    <w:abstractNumId w:val="5"/>
  </w:num>
  <w:num w:numId="2" w16cid:durableId="1479689013">
    <w:abstractNumId w:val="8"/>
  </w:num>
  <w:num w:numId="3" w16cid:durableId="393771970">
    <w:abstractNumId w:val="18"/>
  </w:num>
  <w:num w:numId="4" w16cid:durableId="1825655382">
    <w:abstractNumId w:val="4"/>
  </w:num>
  <w:num w:numId="5" w16cid:durableId="1408190393">
    <w:abstractNumId w:val="22"/>
  </w:num>
  <w:num w:numId="6" w16cid:durableId="1554847473">
    <w:abstractNumId w:val="10"/>
  </w:num>
  <w:num w:numId="7" w16cid:durableId="691227194">
    <w:abstractNumId w:val="12"/>
  </w:num>
  <w:num w:numId="8" w16cid:durableId="1410080532">
    <w:abstractNumId w:val="17"/>
  </w:num>
  <w:num w:numId="9" w16cid:durableId="442002094">
    <w:abstractNumId w:val="1"/>
  </w:num>
  <w:num w:numId="10" w16cid:durableId="933979838">
    <w:abstractNumId w:val="19"/>
  </w:num>
  <w:num w:numId="11" w16cid:durableId="1819684073">
    <w:abstractNumId w:val="16"/>
  </w:num>
  <w:num w:numId="12" w16cid:durableId="373966831">
    <w:abstractNumId w:val="20"/>
  </w:num>
  <w:num w:numId="13" w16cid:durableId="1158224596">
    <w:abstractNumId w:val="15"/>
  </w:num>
  <w:num w:numId="14" w16cid:durableId="90129894">
    <w:abstractNumId w:val="11"/>
  </w:num>
  <w:num w:numId="15" w16cid:durableId="418522480">
    <w:abstractNumId w:val="21"/>
  </w:num>
  <w:num w:numId="16" w16cid:durableId="1230382260">
    <w:abstractNumId w:val="7"/>
  </w:num>
  <w:num w:numId="17" w16cid:durableId="1370687119">
    <w:abstractNumId w:val="9"/>
  </w:num>
  <w:num w:numId="18" w16cid:durableId="1681008727">
    <w:abstractNumId w:val="14"/>
  </w:num>
  <w:num w:numId="19" w16cid:durableId="282539913">
    <w:abstractNumId w:val="13"/>
  </w:num>
  <w:num w:numId="20" w16cid:durableId="1959989685">
    <w:abstractNumId w:val="0"/>
  </w:num>
  <w:num w:numId="21" w16cid:durableId="398945741">
    <w:abstractNumId w:val="6"/>
  </w:num>
  <w:num w:numId="22" w16cid:durableId="1116490123">
    <w:abstractNumId w:val="3"/>
  </w:num>
  <w:num w:numId="23" w16cid:durableId="11460469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20B"/>
    <w:rsid w:val="000100B8"/>
    <w:rsid w:val="00097E42"/>
    <w:rsid w:val="00111C51"/>
    <w:rsid w:val="00146335"/>
    <w:rsid w:val="001625B7"/>
    <w:rsid w:val="00166060"/>
    <w:rsid w:val="001A1D40"/>
    <w:rsid w:val="002B4BA7"/>
    <w:rsid w:val="002C72EE"/>
    <w:rsid w:val="002E02F8"/>
    <w:rsid w:val="00306DE4"/>
    <w:rsid w:val="00343C50"/>
    <w:rsid w:val="003B3A68"/>
    <w:rsid w:val="004229A4"/>
    <w:rsid w:val="00432BC2"/>
    <w:rsid w:val="004439AD"/>
    <w:rsid w:val="00447812"/>
    <w:rsid w:val="00481CFC"/>
    <w:rsid w:val="00517195"/>
    <w:rsid w:val="00526F1A"/>
    <w:rsid w:val="005973CA"/>
    <w:rsid w:val="005C2C62"/>
    <w:rsid w:val="00685D31"/>
    <w:rsid w:val="006B6948"/>
    <w:rsid w:val="006C5B40"/>
    <w:rsid w:val="0073320B"/>
    <w:rsid w:val="007344C9"/>
    <w:rsid w:val="007843F7"/>
    <w:rsid w:val="0078749D"/>
    <w:rsid w:val="0083747C"/>
    <w:rsid w:val="00840D7A"/>
    <w:rsid w:val="008576E7"/>
    <w:rsid w:val="009530F6"/>
    <w:rsid w:val="00987D2E"/>
    <w:rsid w:val="00A47F13"/>
    <w:rsid w:val="00A60D60"/>
    <w:rsid w:val="00A669FB"/>
    <w:rsid w:val="00A778F0"/>
    <w:rsid w:val="00AD2F01"/>
    <w:rsid w:val="00AE285E"/>
    <w:rsid w:val="00AF79B3"/>
    <w:rsid w:val="00B17360"/>
    <w:rsid w:val="00B32818"/>
    <w:rsid w:val="00BD450E"/>
    <w:rsid w:val="00C050F9"/>
    <w:rsid w:val="00C36A30"/>
    <w:rsid w:val="00C73275"/>
    <w:rsid w:val="00D36D83"/>
    <w:rsid w:val="00D5048B"/>
    <w:rsid w:val="00D62BC4"/>
    <w:rsid w:val="00DA20FA"/>
    <w:rsid w:val="00DD081B"/>
    <w:rsid w:val="00E3777E"/>
    <w:rsid w:val="00E64591"/>
    <w:rsid w:val="00E73C6B"/>
    <w:rsid w:val="00EF0B7E"/>
    <w:rsid w:val="00F34AB4"/>
    <w:rsid w:val="00FC3A35"/>
    <w:rsid w:val="00FD396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9AA45"/>
  <w15:chartTrackingRefBased/>
  <w15:docId w15:val="{0012BDFD-77AE-454B-AB1E-FB55F2B4B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320B"/>
    <w:pPr>
      <w:spacing w:after="200" w:line="360" w:lineRule="auto"/>
      <w:jc w:val="both"/>
    </w:pPr>
    <w:rPr>
      <w:rFonts w:eastAsiaTheme="minorEastAsia"/>
      <w:kern w:val="0"/>
    </w:rPr>
  </w:style>
  <w:style w:type="paragraph" w:styleId="Heading1">
    <w:name w:val="heading 1"/>
    <w:basedOn w:val="Normal"/>
    <w:next w:val="Normal"/>
    <w:link w:val="Heading1Char"/>
    <w:uiPriority w:val="9"/>
    <w:qFormat/>
    <w:rsid w:val="007332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Heading 2Number"/>
    <w:basedOn w:val="Normal"/>
    <w:next w:val="Normal"/>
    <w:link w:val="Heading2Char"/>
    <w:uiPriority w:val="9"/>
    <w:unhideWhenUsed/>
    <w:qFormat/>
    <w:rsid w:val="007332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3320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73320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3320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332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32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32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32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320B"/>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Heading 2Number Char"/>
    <w:basedOn w:val="DefaultParagraphFont"/>
    <w:link w:val="Heading2"/>
    <w:uiPriority w:val="9"/>
    <w:rsid w:val="007332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332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32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32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32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32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32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320B"/>
    <w:rPr>
      <w:rFonts w:eastAsiaTheme="majorEastAsia" w:cstheme="majorBidi"/>
      <w:color w:val="272727" w:themeColor="text1" w:themeTint="D8"/>
    </w:rPr>
  </w:style>
  <w:style w:type="paragraph" w:styleId="Title">
    <w:name w:val="Title"/>
    <w:basedOn w:val="Normal"/>
    <w:next w:val="Normal"/>
    <w:link w:val="TitleChar"/>
    <w:uiPriority w:val="10"/>
    <w:qFormat/>
    <w:rsid w:val="007332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32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32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32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320B"/>
    <w:pPr>
      <w:spacing w:before="160"/>
      <w:jc w:val="center"/>
    </w:pPr>
    <w:rPr>
      <w:i/>
      <w:iCs/>
      <w:color w:val="404040" w:themeColor="text1" w:themeTint="BF"/>
    </w:rPr>
  </w:style>
  <w:style w:type="character" w:customStyle="1" w:styleId="QuoteChar">
    <w:name w:val="Quote Char"/>
    <w:basedOn w:val="DefaultParagraphFont"/>
    <w:link w:val="Quote"/>
    <w:uiPriority w:val="29"/>
    <w:rsid w:val="0073320B"/>
    <w:rPr>
      <w:i/>
      <w:iCs/>
      <w:color w:val="404040" w:themeColor="text1" w:themeTint="BF"/>
    </w:rPr>
  </w:style>
  <w:style w:type="paragraph" w:styleId="ListParagraph">
    <w:name w:val="List Paragraph"/>
    <w:basedOn w:val="Normal"/>
    <w:uiPriority w:val="34"/>
    <w:qFormat/>
    <w:rsid w:val="0073320B"/>
    <w:pPr>
      <w:ind w:left="720"/>
      <w:contextualSpacing/>
    </w:pPr>
  </w:style>
  <w:style w:type="character" w:styleId="IntenseEmphasis">
    <w:name w:val="Intense Emphasis"/>
    <w:basedOn w:val="DefaultParagraphFont"/>
    <w:uiPriority w:val="21"/>
    <w:qFormat/>
    <w:rsid w:val="0073320B"/>
    <w:rPr>
      <w:i/>
      <w:iCs/>
      <w:color w:val="0F4761" w:themeColor="accent1" w:themeShade="BF"/>
    </w:rPr>
  </w:style>
  <w:style w:type="paragraph" w:styleId="IntenseQuote">
    <w:name w:val="Intense Quote"/>
    <w:basedOn w:val="Normal"/>
    <w:next w:val="Normal"/>
    <w:link w:val="IntenseQuoteChar"/>
    <w:uiPriority w:val="30"/>
    <w:qFormat/>
    <w:rsid w:val="007332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320B"/>
    <w:rPr>
      <w:i/>
      <w:iCs/>
      <w:color w:val="0F4761" w:themeColor="accent1" w:themeShade="BF"/>
    </w:rPr>
  </w:style>
  <w:style w:type="character" w:styleId="IntenseReference">
    <w:name w:val="Intense Reference"/>
    <w:basedOn w:val="DefaultParagraphFont"/>
    <w:uiPriority w:val="32"/>
    <w:qFormat/>
    <w:rsid w:val="0073320B"/>
    <w:rPr>
      <w:b/>
      <w:bCs/>
      <w:smallCaps/>
      <w:color w:val="0F4761" w:themeColor="accent1" w:themeShade="BF"/>
      <w:spacing w:val="5"/>
    </w:rPr>
  </w:style>
  <w:style w:type="table" w:customStyle="1" w:styleId="TableGrid1">
    <w:name w:val="Table Grid1"/>
    <w:basedOn w:val="TableNormal"/>
    <w:next w:val="TableGrid"/>
    <w:uiPriority w:val="59"/>
    <w:rsid w:val="0073320B"/>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73320B"/>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7332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73320B"/>
    <w:pPr>
      <w:spacing w:before="240" w:after="0"/>
      <w:outlineLvl w:val="9"/>
    </w:pPr>
    <w:rPr>
      <w:sz w:val="32"/>
      <w:szCs w:val="32"/>
      <w:lang w:val="en-US"/>
      <w14:ligatures w14:val="none"/>
    </w:rPr>
  </w:style>
  <w:style w:type="paragraph" w:styleId="TOC1">
    <w:name w:val="toc 1"/>
    <w:basedOn w:val="Normal"/>
    <w:next w:val="Normal"/>
    <w:autoRedefine/>
    <w:uiPriority w:val="39"/>
    <w:unhideWhenUsed/>
    <w:rsid w:val="0073320B"/>
    <w:pPr>
      <w:spacing w:after="100"/>
    </w:pPr>
  </w:style>
  <w:style w:type="character" w:styleId="Hyperlink">
    <w:name w:val="Hyperlink"/>
    <w:basedOn w:val="DefaultParagraphFont"/>
    <w:uiPriority w:val="99"/>
    <w:unhideWhenUsed/>
    <w:rsid w:val="0073320B"/>
    <w:rPr>
      <w:color w:val="467886" w:themeColor="hyperlink"/>
      <w:u w:val="single"/>
    </w:rPr>
  </w:style>
  <w:style w:type="paragraph" w:styleId="TOC2">
    <w:name w:val="toc 2"/>
    <w:basedOn w:val="Normal"/>
    <w:next w:val="Normal"/>
    <w:autoRedefine/>
    <w:uiPriority w:val="39"/>
    <w:unhideWhenUsed/>
    <w:rsid w:val="0073320B"/>
    <w:pPr>
      <w:spacing w:after="100"/>
      <w:ind w:left="220"/>
    </w:pPr>
  </w:style>
  <w:style w:type="character" w:styleId="UnresolvedMention">
    <w:name w:val="Unresolved Mention"/>
    <w:basedOn w:val="DefaultParagraphFont"/>
    <w:uiPriority w:val="99"/>
    <w:semiHidden/>
    <w:unhideWhenUsed/>
    <w:rsid w:val="00097E42"/>
    <w:rPr>
      <w:color w:val="605E5C"/>
      <w:shd w:val="clear" w:color="auto" w:fill="E1DFDD"/>
    </w:rPr>
  </w:style>
  <w:style w:type="character" w:styleId="FollowedHyperlink">
    <w:name w:val="FollowedHyperlink"/>
    <w:basedOn w:val="DefaultParagraphFont"/>
    <w:uiPriority w:val="99"/>
    <w:semiHidden/>
    <w:unhideWhenUsed/>
    <w:rsid w:val="007843F7"/>
    <w:rPr>
      <w:color w:val="96607D" w:themeColor="followedHyperlink"/>
      <w:u w:val="single"/>
    </w:rPr>
  </w:style>
  <w:style w:type="paragraph" w:styleId="Header">
    <w:name w:val="header"/>
    <w:basedOn w:val="Normal"/>
    <w:link w:val="HeaderChar"/>
    <w:uiPriority w:val="99"/>
    <w:unhideWhenUsed/>
    <w:rsid w:val="007843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43F7"/>
    <w:rPr>
      <w:rFonts w:eastAsiaTheme="minorEastAsia"/>
      <w:kern w:val="0"/>
    </w:rPr>
  </w:style>
  <w:style w:type="paragraph" w:styleId="Footer">
    <w:name w:val="footer"/>
    <w:basedOn w:val="Normal"/>
    <w:link w:val="FooterChar"/>
    <w:uiPriority w:val="99"/>
    <w:unhideWhenUsed/>
    <w:rsid w:val="007843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43F7"/>
    <w:rPr>
      <w:rFonts w:eastAsiaTheme="minorEastAsia"/>
      <w:kern w:val="0"/>
    </w:rPr>
  </w:style>
  <w:style w:type="character" w:styleId="CommentReference">
    <w:name w:val="annotation reference"/>
    <w:basedOn w:val="DefaultParagraphFont"/>
    <w:uiPriority w:val="99"/>
    <w:semiHidden/>
    <w:unhideWhenUsed/>
    <w:rsid w:val="00A60D60"/>
    <w:rPr>
      <w:sz w:val="16"/>
      <w:szCs w:val="16"/>
    </w:rPr>
  </w:style>
  <w:style w:type="paragraph" w:styleId="CommentText">
    <w:name w:val="annotation text"/>
    <w:basedOn w:val="Normal"/>
    <w:link w:val="CommentTextChar"/>
    <w:uiPriority w:val="99"/>
    <w:unhideWhenUsed/>
    <w:rsid w:val="00A60D60"/>
    <w:pPr>
      <w:spacing w:line="240" w:lineRule="auto"/>
    </w:pPr>
    <w:rPr>
      <w:sz w:val="20"/>
      <w:szCs w:val="20"/>
    </w:rPr>
  </w:style>
  <w:style w:type="character" w:customStyle="1" w:styleId="CommentTextChar">
    <w:name w:val="Comment Text Char"/>
    <w:basedOn w:val="DefaultParagraphFont"/>
    <w:link w:val="CommentText"/>
    <w:uiPriority w:val="99"/>
    <w:rsid w:val="00A60D60"/>
    <w:rPr>
      <w:rFonts w:eastAsiaTheme="minorEastAsia"/>
      <w:kern w:val="0"/>
      <w:sz w:val="20"/>
      <w:szCs w:val="20"/>
    </w:rPr>
  </w:style>
  <w:style w:type="paragraph" w:styleId="CommentSubject">
    <w:name w:val="annotation subject"/>
    <w:basedOn w:val="CommentText"/>
    <w:next w:val="CommentText"/>
    <w:link w:val="CommentSubjectChar"/>
    <w:uiPriority w:val="99"/>
    <w:semiHidden/>
    <w:unhideWhenUsed/>
    <w:rsid w:val="00A60D60"/>
    <w:rPr>
      <w:b/>
      <w:bCs/>
    </w:rPr>
  </w:style>
  <w:style w:type="character" w:customStyle="1" w:styleId="CommentSubjectChar">
    <w:name w:val="Comment Subject Char"/>
    <w:basedOn w:val="CommentTextChar"/>
    <w:link w:val="CommentSubject"/>
    <w:uiPriority w:val="99"/>
    <w:semiHidden/>
    <w:rsid w:val="00A60D60"/>
    <w:rPr>
      <w:rFonts w:eastAsiaTheme="minorEastAsia"/>
      <w:b/>
      <w:bCs/>
      <w:kern w:val="0"/>
      <w:sz w:val="20"/>
      <w:szCs w:val="20"/>
    </w:rPr>
  </w:style>
  <w:style w:type="paragraph" w:customStyle="1" w:styleId="H3Number">
    <w:name w:val="H3Number"/>
    <w:basedOn w:val="Heading3"/>
    <w:next w:val="Normal"/>
    <w:link w:val="H3NumberChar"/>
    <w:qFormat/>
    <w:rsid w:val="00685D31"/>
    <w:pPr>
      <w:numPr>
        <w:ilvl w:val="2"/>
      </w:numPr>
      <w:spacing w:before="40" w:after="0" w:line="259" w:lineRule="auto"/>
      <w:ind w:left="720" w:hanging="720"/>
      <w:jc w:val="left"/>
    </w:pPr>
    <w:rPr>
      <w:rFonts w:asciiTheme="majorHAnsi" w:hAnsiTheme="majorHAnsi"/>
      <w:b/>
      <w:color w:val="0A2F40" w:themeColor="accent1" w:themeShade="7F"/>
      <w:sz w:val="24"/>
      <w:szCs w:val="24"/>
      <w14:ligatures w14:val="none"/>
    </w:rPr>
  </w:style>
  <w:style w:type="character" w:customStyle="1" w:styleId="H3NumberChar">
    <w:name w:val="H3Number Char"/>
    <w:basedOn w:val="Heading3Char"/>
    <w:link w:val="H3Number"/>
    <w:rsid w:val="00685D31"/>
    <w:rPr>
      <w:rFonts w:asciiTheme="majorHAnsi" w:eastAsiaTheme="majorEastAsia" w:hAnsiTheme="majorHAnsi" w:cstheme="majorBidi"/>
      <w:b/>
      <w:color w:val="0A2F40" w:themeColor="accent1" w:themeShade="7F"/>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713733">
      <w:bodyDiv w:val="1"/>
      <w:marLeft w:val="0"/>
      <w:marRight w:val="0"/>
      <w:marTop w:val="0"/>
      <w:marBottom w:val="0"/>
      <w:divBdr>
        <w:top w:val="none" w:sz="0" w:space="0" w:color="auto"/>
        <w:left w:val="none" w:sz="0" w:space="0" w:color="auto"/>
        <w:bottom w:val="none" w:sz="0" w:space="0" w:color="auto"/>
        <w:right w:val="none" w:sz="0" w:space="0" w:color="auto"/>
      </w:divBdr>
    </w:div>
    <w:div w:id="317468095">
      <w:bodyDiv w:val="1"/>
      <w:marLeft w:val="0"/>
      <w:marRight w:val="0"/>
      <w:marTop w:val="0"/>
      <w:marBottom w:val="0"/>
      <w:divBdr>
        <w:top w:val="none" w:sz="0" w:space="0" w:color="auto"/>
        <w:left w:val="none" w:sz="0" w:space="0" w:color="auto"/>
        <w:bottom w:val="none" w:sz="0" w:space="0" w:color="auto"/>
        <w:right w:val="none" w:sz="0" w:space="0" w:color="auto"/>
      </w:divBdr>
    </w:div>
    <w:div w:id="416176557">
      <w:bodyDiv w:val="1"/>
      <w:marLeft w:val="0"/>
      <w:marRight w:val="0"/>
      <w:marTop w:val="0"/>
      <w:marBottom w:val="0"/>
      <w:divBdr>
        <w:top w:val="none" w:sz="0" w:space="0" w:color="auto"/>
        <w:left w:val="none" w:sz="0" w:space="0" w:color="auto"/>
        <w:bottom w:val="none" w:sz="0" w:space="0" w:color="auto"/>
        <w:right w:val="none" w:sz="0" w:space="0" w:color="auto"/>
      </w:divBdr>
    </w:div>
    <w:div w:id="622540659">
      <w:bodyDiv w:val="1"/>
      <w:marLeft w:val="0"/>
      <w:marRight w:val="0"/>
      <w:marTop w:val="0"/>
      <w:marBottom w:val="0"/>
      <w:divBdr>
        <w:top w:val="none" w:sz="0" w:space="0" w:color="auto"/>
        <w:left w:val="none" w:sz="0" w:space="0" w:color="auto"/>
        <w:bottom w:val="none" w:sz="0" w:space="0" w:color="auto"/>
        <w:right w:val="none" w:sz="0" w:space="0" w:color="auto"/>
      </w:divBdr>
    </w:div>
    <w:div w:id="631599254">
      <w:bodyDiv w:val="1"/>
      <w:marLeft w:val="0"/>
      <w:marRight w:val="0"/>
      <w:marTop w:val="0"/>
      <w:marBottom w:val="0"/>
      <w:divBdr>
        <w:top w:val="none" w:sz="0" w:space="0" w:color="auto"/>
        <w:left w:val="none" w:sz="0" w:space="0" w:color="auto"/>
        <w:bottom w:val="none" w:sz="0" w:space="0" w:color="auto"/>
        <w:right w:val="none" w:sz="0" w:space="0" w:color="auto"/>
      </w:divBdr>
    </w:div>
    <w:div w:id="1431197894">
      <w:bodyDiv w:val="1"/>
      <w:marLeft w:val="0"/>
      <w:marRight w:val="0"/>
      <w:marTop w:val="0"/>
      <w:marBottom w:val="0"/>
      <w:divBdr>
        <w:top w:val="none" w:sz="0" w:space="0" w:color="auto"/>
        <w:left w:val="none" w:sz="0" w:space="0" w:color="auto"/>
        <w:bottom w:val="none" w:sz="0" w:space="0" w:color="auto"/>
        <w:right w:val="none" w:sz="0" w:space="0" w:color="auto"/>
      </w:divBdr>
    </w:div>
    <w:div w:id="1530875184">
      <w:bodyDiv w:val="1"/>
      <w:marLeft w:val="0"/>
      <w:marRight w:val="0"/>
      <w:marTop w:val="0"/>
      <w:marBottom w:val="0"/>
      <w:divBdr>
        <w:top w:val="none" w:sz="0" w:space="0" w:color="auto"/>
        <w:left w:val="none" w:sz="0" w:space="0" w:color="auto"/>
        <w:bottom w:val="none" w:sz="0" w:space="0" w:color="auto"/>
        <w:right w:val="none" w:sz="0" w:space="0" w:color="auto"/>
      </w:divBdr>
    </w:div>
    <w:div w:id="1612085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visedacts.lawreform.ie/eli/2012/act/28/revised/en/pdf?annotations=false" TargetMode="External"/><Relationship Id="rId5" Type="http://schemas.openxmlformats.org/officeDocument/2006/relationships/webSettings" Target="webSettings.xml"/><Relationship Id="rId10" Type="http://schemas.openxmlformats.org/officeDocument/2006/relationships/hyperlink" Target="https://rm.coe.int/168007f2c7" TargetMode="External"/><Relationship Id="rId4" Type="http://schemas.openxmlformats.org/officeDocument/2006/relationships/settings" Target="settings.xml"/><Relationship Id="rId9" Type="http://schemas.openxmlformats.org/officeDocument/2006/relationships/hyperlink" Target="https://www.qqi.ie/sites/default/files/2021-11/qg-1-core-statutory-quality-assurance-guidelin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4ECBA8-A199-484B-ADD3-E771785D5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1753</Words>
  <Characters>9997</Characters>
  <Application>Microsoft Office Word</Application>
  <DocSecurity>4</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Gardiner</dc:creator>
  <cp:keywords/>
  <dc:description/>
  <cp:lastModifiedBy>Celestine Rowland</cp:lastModifiedBy>
  <cp:revision>2</cp:revision>
  <cp:lastPrinted>2025-03-27T17:51:00Z</cp:lastPrinted>
  <dcterms:created xsi:type="dcterms:W3CDTF">2025-03-27T17:55:00Z</dcterms:created>
  <dcterms:modified xsi:type="dcterms:W3CDTF">2025-03-27T17:55:00Z</dcterms:modified>
</cp:coreProperties>
</file>